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eastAsia="仿宋_GB2312"/>
          <w:b/>
          <w:kern w:val="22"/>
          <w:sz w:val="52"/>
          <w:szCs w:val="52"/>
        </w:rPr>
      </w:pPr>
    </w:p>
    <w:p>
      <w:pPr>
        <w:spacing w:line="360" w:lineRule="auto"/>
        <w:jc w:val="center"/>
        <w:rPr>
          <w:rFonts w:ascii="仿宋_GB2312" w:eastAsia="仿宋_GB2312"/>
          <w:b/>
          <w:kern w:val="22"/>
          <w:sz w:val="52"/>
          <w:szCs w:val="52"/>
        </w:rPr>
      </w:pPr>
    </w:p>
    <w:p>
      <w:pPr>
        <w:spacing w:line="360" w:lineRule="auto"/>
        <w:jc w:val="center"/>
        <w:rPr>
          <w:rFonts w:ascii="宋体" w:hAnsi="宋体" w:cs="宋体"/>
          <w:b/>
          <w:sz w:val="44"/>
          <w:szCs w:val="44"/>
        </w:rPr>
      </w:pPr>
      <w:r>
        <w:rPr>
          <w:rFonts w:hint="eastAsia" w:ascii="宋体" w:hAnsi="宋体" w:cs="宋体"/>
          <w:b/>
          <w:sz w:val="44"/>
          <w:szCs w:val="44"/>
        </w:rPr>
        <w:t>山西省地方标准</w:t>
      </w:r>
    </w:p>
    <w:p>
      <w:pPr>
        <w:spacing w:line="360" w:lineRule="auto"/>
        <w:jc w:val="center"/>
        <w:rPr>
          <w:rFonts w:ascii="仿宋_GB2312" w:eastAsia="仿宋_GB2312"/>
          <w:b/>
          <w:kern w:val="22"/>
          <w:sz w:val="52"/>
          <w:szCs w:val="52"/>
        </w:rPr>
      </w:pPr>
      <w:r>
        <w:rPr>
          <w:rFonts w:hint="eastAsia" w:ascii="仿宋_GB2312" w:hAnsi="宋体" w:eastAsia="仿宋_GB2312" w:cs="宋体"/>
          <w:b/>
          <w:sz w:val="52"/>
          <w:szCs w:val="52"/>
        </w:rPr>
        <w:t>《</w:t>
      </w:r>
      <w:bookmarkStart w:id="0" w:name="_Toc171719622"/>
      <w:r>
        <w:rPr>
          <w:rFonts w:hint="eastAsia" w:ascii="宋体" w:hAnsi="宋体" w:cs="宋体"/>
          <w:b/>
          <w:sz w:val="44"/>
          <w:szCs w:val="44"/>
        </w:rPr>
        <w:t>冬枣生产质量控制技术规程</w:t>
      </w:r>
      <w:r>
        <w:rPr>
          <w:rFonts w:hint="eastAsia" w:ascii="仿宋_GB2312" w:hAnsi="宋体" w:eastAsia="仿宋_GB2312" w:cs="宋体"/>
          <w:b/>
          <w:sz w:val="52"/>
          <w:szCs w:val="52"/>
        </w:rPr>
        <w:t>》</w:t>
      </w:r>
    </w:p>
    <w:p>
      <w:pPr>
        <w:spacing w:line="360" w:lineRule="auto"/>
        <w:jc w:val="center"/>
        <w:rPr>
          <w:rFonts w:ascii="仿宋_GB2312" w:eastAsia="仿宋_GB2312"/>
          <w:b/>
          <w:spacing w:val="20"/>
          <w:kern w:val="22"/>
          <w:sz w:val="44"/>
          <w:szCs w:val="44"/>
        </w:rPr>
      </w:pPr>
      <w:r>
        <w:rPr>
          <w:rFonts w:hint="eastAsia" w:ascii="仿宋_GB2312" w:eastAsia="仿宋_GB2312"/>
          <w:b/>
          <w:spacing w:val="20"/>
          <w:kern w:val="22"/>
          <w:sz w:val="44"/>
          <w:szCs w:val="44"/>
        </w:rPr>
        <w:t>编制说明</w:t>
      </w:r>
      <w:bookmarkEnd w:id="0"/>
    </w:p>
    <w:p>
      <w:pPr>
        <w:spacing w:line="360" w:lineRule="auto"/>
        <w:rPr>
          <w:rFonts w:ascii="仿宋_GB2312" w:eastAsia="仿宋_GB2312"/>
          <w:b/>
          <w:kern w:val="22"/>
          <w:sz w:val="44"/>
          <w:szCs w:val="44"/>
        </w:rPr>
      </w:pPr>
    </w:p>
    <w:p>
      <w:pPr>
        <w:spacing w:line="360" w:lineRule="auto"/>
        <w:rPr>
          <w:rFonts w:ascii="仿宋_GB2312" w:eastAsia="仿宋_GB2312"/>
          <w:b/>
          <w:kern w:val="22"/>
          <w:sz w:val="44"/>
          <w:szCs w:val="44"/>
        </w:rPr>
      </w:pPr>
    </w:p>
    <w:p>
      <w:pPr>
        <w:spacing w:line="360" w:lineRule="auto"/>
        <w:rPr>
          <w:rFonts w:ascii="仿宋_GB2312" w:eastAsia="仿宋_GB2312"/>
          <w:b/>
          <w:kern w:val="22"/>
          <w:sz w:val="44"/>
          <w:szCs w:val="44"/>
        </w:rPr>
      </w:pPr>
    </w:p>
    <w:p>
      <w:pPr>
        <w:spacing w:line="360" w:lineRule="auto"/>
        <w:rPr>
          <w:rFonts w:ascii="仿宋_GB2312" w:eastAsia="仿宋_GB2312"/>
          <w:b/>
          <w:kern w:val="22"/>
          <w:sz w:val="32"/>
          <w:szCs w:val="32"/>
        </w:rPr>
      </w:pPr>
    </w:p>
    <w:p>
      <w:pPr>
        <w:spacing w:line="360" w:lineRule="auto"/>
        <w:rPr>
          <w:rFonts w:ascii="仿宋_GB2312" w:eastAsia="仿宋_GB2312"/>
          <w:b/>
          <w:kern w:val="22"/>
          <w:sz w:val="10"/>
          <w:szCs w:val="10"/>
        </w:rPr>
      </w:pPr>
    </w:p>
    <w:p>
      <w:pPr>
        <w:spacing w:line="360" w:lineRule="auto"/>
        <w:rPr>
          <w:rFonts w:ascii="仿宋_GB2312" w:eastAsia="仿宋_GB2312"/>
          <w:b/>
          <w:kern w:val="22"/>
          <w:sz w:val="10"/>
          <w:szCs w:val="10"/>
        </w:rPr>
      </w:pPr>
    </w:p>
    <w:p>
      <w:pPr>
        <w:spacing w:line="360" w:lineRule="auto"/>
        <w:rPr>
          <w:rFonts w:ascii="仿宋_GB2312" w:eastAsia="仿宋_GB2312"/>
          <w:b/>
          <w:kern w:val="22"/>
          <w:sz w:val="10"/>
          <w:szCs w:val="10"/>
        </w:rPr>
      </w:pPr>
    </w:p>
    <w:p>
      <w:pPr>
        <w:spacing w:line="360" w:lineRule="auto"/>
        <w:rPr>
          <w:rFonts w:ascii="仿宋_GB2312" w:eastAsia="仿宋_GB2312"/>
          <w:b/>
          <w:kern w:val="22"/>
          <w:sz w:val="10"/>
          <w:szCs w:val="10"/>
        </w:rPr>
      </w:pPr>
    </w:p>
    <w:p>
      <w:pPr>
        <w:spacing w:line="360" w:lineRule="auto"/>
        <w:rPr>
          <w:rFonts w:ascii="仿宋_GB2312" w:eastAsia="仿宋_GB2312"/>
          <w:b/>
          <w:kern w:val="22"/>
          <w:sz w:val="10"/>
          <w:szCs w:val="10"/>
        </w:rPr>
      </w:pPr>
    </w:p>
    <w:p>
      <w:pPr>
        <w:spacing w:line="360" w:lineRule="auto"/>
        <w:ind w:firstLine="1606" w:firstLineChars="500"/>
        <w:rPr>
          <w:rFonts w:ascii="仿宋_GB2312" w:hAnsi="宋体" w:eastAsia="仿宋_GB2312"/>
          <w:b/>
          <w:kern w:val="22"/>
          <w:sz w:val="32"/>
          <w:szCs w:val="32"/>
        </w:rPr>
      </w:pPr>
      <w:r>
        <w:rPr>
          <w:rFonts w:hint="eastAsia" w:ascii="仿宋_GB2312" w:hAnsi="宋体" w:eastAsia="仿宋_GB2312"/>
          <w:b/>
          <w:kern w:val="22"/>
          <w:sz w:val="32"/>
          <w:szCs w:val="32"/>
        </w:rPr>
        <w:t>编制单位：</w:t>
      </w:r>
      <w:r>
        <w:rPr>
          <w:rFonts w:hint="eastAsia" w:ascii="仿宋_GB2312" w:hAnsi="宋体" w:eastAsia="仿宋_GB2312"/>
          <w:b/>
          <w:kern w:val="22"/>
          <w:sz w:val="32"/>
          <w:szCs w:val="32"/>
          <w:lang w:val="en-US" w:eastAsia="zh-CN"/>
        </w:rPr>
        <w:t xml:space="preserve">   </w:t>
      </w:r>
      <w:r>
        <w:rPr>
          <w:rFonts w:hint="eastAsia" w:ascii="仿宋_GB2312" w:hAnsi="宋体" w:eastAsia="仿宋_GB2312"/>
          <w:b/>
          <w:kern w:val="22"/>
          <w:sz w:val="32"/>
          <w:szCs w:val="32"/>
        </w:rPr>
        <w:t>山西省检验检测中心</w:t>
      </w:r>
    </w:p>
    <w:p>
      <w:pPr>
        <w:spacing w:line="360" w:lineRule="auto"/>
        <w:jc w:val="center"/>
        <w:rPr>
          <w:rFonts w:ascii="仿宋_GB2312" w:hAnsi="宋体" w:eastAsia="仿宋_GB2312"/>
          <w:sz w:val="32"/>
          <w:szCs w:val="32"/>
        </w:rPr>
      </w:pPr>
      <w:r>
        <w:rPr>
          <w:rFonts w:hint="eastAsia" w:ascii="仿宋_GB2312" w:hAnsi="宋体" w:eastAsia="仿宋_GB2312"/>
          <w:b/>
          <w:kern w:val="22"/>
          <w:sz w:val="32"/>
          <w:szCs w:val="32"/>
        </w:rPr>
        <w:t xml:space="preserve">            （山西省标准计量技术研究院）</w:t>
      </w:r>
      <w:r>
        <w:rPr>
          <w:rFonts w:hint="eastAsia" w:ascii="仿宋_GB2312" w:hAnsi="宋体" w:eastAsia="仿宋_GB2312"/>
          <w:sz w:val="32"/>
          <w:szCs w:val="32"/>
        </w:rPr>
        <w:t xml:space="preserve"> </w:t>
      </w:r>
    </w:p>
    <w:p>
      <w:pPr>
        <w:spacing w:line="360" w:lineRule="auto"/>
        <w:jc w:val="center"/>
        <w:rPr>
          <w:rFonts w:ascii="仿宋_GB2312" w:eastAsia="仿宋_GB2312"/>
          <w:b/>
          <w:kern w:val="22"/>
          <w:sz w:val="10"/>
          <w:szCs w:val="10"/>
        </w:rPr>
      </w:pPr>
      <w:r>
        <w:rPr>
          <w:rFonts w:hint="eastAsia" w:ascii="仿宋_GB2312" w:hAnsi="宋体" w:eastAsia="仿宋_GB2312"/>
          <w:b/>
          <w:kern w:val="22"/>
          <w:sz w:val="32"/>
          <w:szCs w:val="32"/>
        </w:rPr>
        <w:t xml:space="preserve">  </w:t>
      </w:r>
      <w:r>
        <w:rPr>
          <w:rFonts w:hint="eastAsia" w:ascii="仿宋_GB2312" w:hAnsi="宋体" w:eastAsia="仿宋_GB2312"/>
          <w:sz w:val="32"/>
          <w:szCs w:val="32"/>
        </w:rPr>
        <w:t xml:space="preserve">  </w:t>
      </w:r>
      <w:r>
        <w:rPr>
          <w:rFonts w:hint="eastAsia" w:ascii="仿宋_GB2312" w:hAnsi="宋体" w:eastAsia="仿宋_GB2312"/>
          <w:b/>
          <w:kern w:val="22"/>
          <w:sz w:val="32"/>
          <w:szCs w:val="32"/>
        </w:rPr>
        <w:t xml:space="preserve"> </w:t>
      </w:r>
    </w:p>
    <w:p>
      <w:pPr>
        <w:spacing w:before="312" w:beforeLines="100" w:line="360" w:lineRule="auto"/>
        <w:jc w:val="center"/>
        <w:rPr>
          <w:rFonts w:ascii="仿宋_GB2312" w:eastAsia="仿宋_GB2312"/>
          <w:b/>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418" w:right="1701" w:bottom="1531" w:left="1701" w:header="851" w:footer="992" w:gutter="0"/>
          <w:pgNumType w:start="0"/>
          <w:cols w:space="720" w:num="1"/>
          <w:titlePg/>
          <w:docGrid w:type="lines" w:linePitch="312" w:charSpace="0"/>
        </w:sectPr>
      </w:pPr>
      <w:r>
        <w:rPr>
          <w:rFonts w:hint="eastAsia" w:ascii="仿宋_GB2312" w:hAnsi="宋体" w:eastAsia="仿宋_GB2312"/>
          <w:b/>
          <w:sz w:val="32"/>
          <w:szCs w:val="32"/>
        </w:rPr>
        <w:t xml:space="preserve">  二</w:t>
      </w:r>
      <w:r>
        <w:rPr>
          <w:rFonts w:hint="eastAsia" w:ascii="仿宋_GB2312" w:hAnsi="宋体"/>
          <w:b/>
          <w:sz w:val="32"/>
          <w:szCs w:val="32"/>
        </w:rPr>
        <w:t>〇</w:t>
      </w:r>
      <w:r>
        <w:rPr>
          <w:rFonts w:hint="eastAsia" w:ascii="仿宋_GB2312" w:hAnsi="宋体" w:eastAsia="仿宋_GB2312"/>
          <w:b/>
          <w:sz w:val="32"/>
          <w:szCs w:val="32"/>
        </w:rPr>
        <w:t>二四年十月</w:t>
      </w:r>
      <w:r>
        <w:rPr>
          <w:rFonts w:hint="eastAsia" w:ascii="仿宋_GB2312" w:hAnsi="宋体" w:eastAsia="仿宋_GB2312"/>
          <w:b/>
          <w:sz w:val="32"/>
          <w:szCs w:val="32"/>
          <w:lang w:eastAsia="zh-CN"/>
        </w:rPr>
        <w:t>二十九</w:t>
      </w:r>
      <w:r>
        <w:rPr>
          <w:rFonts w:hint="eastAsia" w:ascii="仿宋_GB2312" w:hAnsi="宋体" w:eastAsia="仿宋_GB2312"/>
          <w:b/>
          <w:sz w:val="32"/>
          <w:szCs w:val="32"/>
        </w:rPr>
        <w:t>日</w:t>
      </w:r>
    </w:p>
    <w:p>
      <w:pPr>
        <w:spacing w:line="600" w:lineRule="exact"/>
        <w:ind w:right="17" w:firstLine="642" w:firstLineChars="200"/>
        <w:rPr>
          <w:rFonts w:ascii="宋体" w:hAnsi="宋体" w:cs="宋体"/>
          <w:b/>
          <w:sz w:val="32"/>
          <w:szCs w:val="32"/>
        </w:rPr>
      </w:pPr>
      <w:r>
        <w:rPr>
          <w:rFonts w:hint="eastAsia" w:ascii="宋体" w:hAnsi="宋体" w:cs="宋体"/>
          <w:b/>
          <w:sz w:val="32"/>
          <w:szCs w:val="32"/>
        </w:rPr>
        <w:t>一、工作简况</w:t>
      </w:r>
    </w:p>
    <w:p>
      <w:pPr>
        <w:spacing w:line="600" w:lineRule="exact"/>
        <w:ind w:right="17" w:firstLine="481" w:firstLineChars="150"/>
        <w:rPr>
          <w:rFonts w:ascii="楷体_GB2312" w:hAnsi="宋体" w:eastAsia="楷体_GB2312"/>
          <w:b/>
          <w:sz w:val="32"/>
          <w:szCs w:val="32"/>
        </w:rPr>
      </w:pPr>
      <w:r>
        <w:rPr>
          <w:rFonts w:hint="eastAsia" w:ascii="楷体_GB2312" w:hAnsi="宋体" w:eastAsia="楷体_GB2312"/>
          <w:b/>
          <w:sz w:val="32"/>
          <w:szCs w:val="32"/>
        </w:rPr>
        <w:t>（一）任务来源</w:t>
      </w:r>
    </w:p>
    <w:p>
      <w:pPr>
        <w:adjustRightInd w:val="0"/>
        <w:spacing w:line="600" w:lineRule="exact"/>
        <w:ind w:right="17" w:firstLine="560" w:firstLineChars="200"/>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依据《山西省农业农村厅关于征集2023年山西省农业农村领域地方标准制修订项目的通知》（晋农质监发〔2023</w:t>
      </w:r>
      <w:r>
        <w:rPr>
          <w:rFonts w:hint="eastAsia" w:ascii="CESI仿宋-GB2312" w:hAnsi="CESI仿宋-GB2312" w:eastAsia="CESI仿宋-GB2312" w:cs="CESI仿宋-GB2312"/>
          <w:sz w:val="28"/>
          <w:szCs w:val="28"/>
        </w:rPr>
        <w:t>〕3号文件）精神，《冬枣生产质量控制技术规程》于2023年6月由山西省检验检测中心（山西省标准计量技术研究院）提出，2023年10月由山西省市场监督管理局以晋市监函〔2023〕351号《关于下达2023年度第七批山西省地方标准制修订项目计划的通知》批准立项。</w:t>
      </w:r>
    </w:p>
    <w:p>
      <w:pPr>
        <w:spacing w:line="600" w:lineRule="exact"/>
        <w:ind w:right="17" w:firstLine="481" w:firstLineChars="150"/>
        <w:rPr>
          <w:rFonts w:ascii="楷体_GB2312" w:hAnsi="宋体" w:eastAsia="楷体_GB2312"/>
          <w:b/>
          <w:sz w:val="32"/>
          <w:szCs w:val="32"/>
        </w:rPr>
      </w:pPr>
      <w:r>
        <w:rPr>
          <w:rFonts w:hint="eastAsia" w:ascii="楷体_GB2312" w:hAnsi="宋体" w:eastAsia="楷体_GB2312"/>
          <w:b/>
          <w:sz w:val="32"/>
          <w:szCs w:val="32"/>
        </w:rPr>
        <w:t>（二）起草单位和主要起草人</w:t>
      </w:r>
    </w:p>
    <w:p>
      <w:pPr>
        <w:spacing w:line="600" w:lineRule="exact"/>
        <w:ind w:firstLine="560" w:firstLineChars="200"/>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本项目承担单位——山西省检验检测中心（山西省标准计量技术研究院）农产品与农药土壤肥料检验技术研究所，现有在职专业技术人员41人，大学本科以上学历达到100%，其中正高级职称10人，副高级职称20人。享受国务院政府特殊津贴专家2人、中共山西省委联系服务的高级专家1人、山西省学术技术带头人3人、“三晋英才”12人。拥有6000余万元的先进检测仪器和设备及7000平方米的检测场所，是专业从事农产品、农业投入品、农产品产地环境检验检测及相关技术研究的技术机构。多年来致力于相关农业行业及地方标准的制修订工作，先后主持完成了30余项农产品生产、质量安全等农业行业和地方标准的制修订，能够顺利完成本生产技术规程合作制定任务。</w:t>
      </w:r>
    </w:p>
    <w:p>
      <w:pPr>
        <w:pStyle w:val="4"/>
        <w:spacing w:before="0" w:beforeAutospacing="0" w:after="0" w:afterAutospacing="0" w:line="600" w:lineRule="exact"/>
        <w:ind w:firstLine="560" w:firstLineChars="200"/>
        <w:jc w:val="both"/>
        <w:rPr>
          <w:rFonts w:hint="eastAsia" w:ascii="CESI仿宋-GB2312" w:hAnsi="CESI仿宋-GB2312" w:eastAsia="CESI仿宋-GB2312" w:cs="CESI仿宋-GB2312"/>
          <w:kern w:val="2"/>
          <w:sz w:val="28"/>
          <w:szCs w:val="28"/>
        </w:rPr>
      </w:pPr>
      <w:r>
        <w:rPr>
          <w:rFonts w:hint="eastAsia" w:ascii="CESI仿宋-GB2312" w:hAnsi="CESI仿宋-GB2312" w:eastAsia="CESI仿宋-GB2312" w:cs="CESI仿宋-GB2312"/>
          <w:kern w:val="2"/>
          <w:sz w:val="28"/>
          <w:szCs w:val="28"/>
        </w:rPr>
        <w:t>项目主持人具有正高级专业技术职称，获山西省学科带头人、“三晋英才”-拔尖骨干人才等荣誉称号。项目组成员中副高级以上职称人员占63%，多年来致力于相关农业行业及地方标准的制修订认真贯彻标准制定的有关法律法工作，先后主持完成国家行业及省地方标准20余项，更有参加农业农村部组织的全国粮食标准清理及评价的工作经验，为本项目的顺利完成奠定了坚实基础。主要起草人有：王慧兰、李岩岭、成颜君、李欣、马小伟、田夏、崔霞、段俐敏。</w:t>
      </w:r>
    </w:p>
    <w:p>
      <w:pPr>
        <w:ind w:firstLine="560" w:firstLineChars="200"/>
        <w:rPr>
          <w:rFonts w:eastAsia="仿宋"/>
        </w:rPr>
      </w:pPr>
      <w:r>
        <w:rPr>
          <w:rFonts w:hint="eastAsia" w:ascii="仿宋" w:hAnsi="仿宋" w:eastAsia="仿宋" w:cs="CESI仿宋-GB2312"/>
          <w:sz w:val="28"/>
          <w:szCs w:val="28"/>
        </w:rPr>
        <w:t>主要起草人信息见表1：</w:t>
      </w:r>
    </w:p>
    <w:p>
      <w:pPr>
        <w:spacing w:line="600" w:lineRule="exact"/>
        <w:ind w:right="17"/>
        <w:jc w:val="center"/>
        <w:rPr>
          <w:rFonts w:ascii="楷体_GB2312" w:hAnsi="宋体" w:eastAsia="楷体_GB2312"/>
          <w:b/>
          <w:sz w:val="32"/>
          <w:szCs w:val="32"/>
        </w:rPr>
      </w:pPr>
      <w:r>
        <w:rPr>
          <w:rFonts w:hint="eastAsia" w:ascii="楷体_GB2312" w:hAnsi="宋体" w:eastAsia="楷体_GB2312"/>
          <w:b/>
          <w:sz w:val="32"/>
          <w:szCs w:val="32"/>
        </w:rPr>
        <w:t>表1</w:t>
      </w:r>
      <w:r>
        <w:rPr>
          <w:rFonts w:ascii="楷体_GB2312" w:hAnsi="宋体" w:eastAsia="楷体_GB2312"/>
          <w:b/>
          <w:sz w:val="32"/>
          <w:szCs w:val="32"/>
        </w:rPr>
        <w:t xml:space="preserve">  </w:t>
      </w:r>
      <w:r>
        <w:rPr>
          <w:rFonts w:hint="eastAsia" w:ascii="楷体_GB2312" w:hAnsi="宋体" w:eastAsia="楷体_GB2312"/>
          <w:b/>
          <w:sz w:val="32"/>
          <w:szCs w:val="32"/>
        </w:rPr>
        <w:t>主要起草人信息表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943"/>
        <w:gridCol w:w="2284"/>
        <w:gridCol w:w="2420"/>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tcPr>
          <w:p>
            <w:pPr>
              <w:spacing w:line="600" w:lineRule="exact"/>
              <w:ind w:right="17"/>
              <w:jc w:val="center"/>
              <w:rPr>
                <w:rFonts w:ascii="楷体_GB2312" w:hAnsi="宋体" w:eastAsia="楷体_GB2312"/>
                <w:b/>
                <w:sz w:val="32"/>
                <w:szCs w:val="32"/>
              </w:rPr>
            </w:pPr>
            <w:r>
              <w:rPr>
                <w:rFonts w:hint="eastAsia" w:ascii="楷体_GB2312" w:hAnsi="宋体" w:eastAsia="楷体_GB2312"/>
                <w:b/>
                <w:sz w:val="32"/>
                <w:szCs w:val="32"/>
              </w:rPr>
              <w:t>姓名</w:t>
            </w:r>
          </w:p>
        </w:tc>
        <w:tc>
          <w:tcPr>
            <w:tcW w:w="553" w:type="pct"/>
          </w:tcPr>
          <w:p>
            <w:pPr>
              <w:spacing w:line="600" w:lineRule="exact"/>
              <w:ind w:right="17"/>
              <w:jc w:val="center"/>
              <w:rPr>
                <w:rFonts w:ascii="楷体_GB2312" w:hAnsi="宋体" w:eastAsia="楷体_GB2312"/>
                <w:b/>
                <w:sz w:val="32"/>
                <w:szCs w:val="32"/>
              </w:rPr>
            </w:pPr>
            <w:r>
              <w:rPr>
                <w:rFonts w:hint="eastAsia" w:ascii="楷体_GB2312" w:hAnsi="宋体" w:eastAsia="楷体_GB2312"/>
                <w:b/>
                <w:sz w:val="32"/>
                <w:szCs w:val="32"/>
              </w:rPr>
              <w:t>性别</w:t>
            </w:r>
          </w:p>
        </w:tc>
        <w:tc>
          <w:tcPr>
            <w:tcW w:w="1340" w:type="pct"/>
          </w:tcPr>
          <w:p>
            <w:pPr>
              <w:spacing w:line="600" w:lineRule="exact"/>
              <w:ind w:right="17"/>
              <w:jc w:val="center"/>
              <w:rPr>
                <w:rFonts w:ascii="楷体_GB2312" w:hAnsi="宋体" w:eastAsia="楷体_GB2312"/>
                <w:b/>
                <w:sz w:val="32"/>
                <w:szCs w:val="32"/>
              </w:rPr>
            </w:pPr>
            <w:r>
              <w:rPr>
                <w:rFonts w:hint="eastAsia" w:ascii="楷体_GB2312" w:hAnsi="宋体" w:eastAsia="楷体_GB2312"/>
                <w:b/>
                <w:sz w:val="32"/>
                <w:szCs w:val="32"/>
              </w:rPr>
              <w:t>职务/职称</w:t>
            </w:r>
          </w:p>
        </w:tc>
        <w:tc>
          <w:tcPr>
            <w:tcW w:w="1420" w:type="pct"/>
          </w:tcPr>
          <w:p>
            <w:pPr>
              <w:spacing w:line="600" w:lineRule="exact"/>
              <w:ind w:right="17"/>
              <w:jc w:val="center"/>
              <w:rPr>
                <w:rFonts w:ascii="楷体_GB2312" w:hAnsi="宋体" w:eastAsia="楷体_GB2312"/>
                <w:b/>
                <w:sz w:val="32"/>
                <w:szCs w:val="32"/>
              </w:rPr>
            </w:pPr>
            <w:r>
              <w:rPr>
                <w:rFonts w:hint="eastAsia" w:ascii="楷体_GB2312" w:hAnsi="宋体" w:eastAsia="楷体_GB2312"/>
                <w:b/>
                <w:sz w:val="32"/>
                <w:szCs w:val="32"/>
              </w:rPr>
              <w:t>工作单位</w:t>
            </w:r>
          </w:p>
        </w:tc>
        <w:tc>
          <w:tcPr>
            <w:tcW w:w="996" w:type="pct"/>
          </w:tcPr>
          <w:p>
            <w:pPr>
              <w:spacing w:line="600" w:lineRule="exact"/>
              <w:ind w:right="17"/>
              <w:jc w:val="center"/>
              <w:rPr>
                <w:rFonts w:ascii="楷体_GB2312" w:hAnsi="宋体" w:eastAsia="楷体_GB2312"/>
                <w:b/>
                <w:sz w:val="32"/>
                <w:szCs w:val="32"/>
              </w:rPr>
            </w:pPr>
            <w:r>
              <w:rPr>
                <w:rFonts w:hint="eastAsia" w:ascii="楷体_GB2312" w:hAnsi="宋体" w:eastAsia="楷体_GB2312"/>
                <w:b/>
                <w:sz w:val="32"/>
                <w:szCs w:val="32"/>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vAlign w:val="center"/>
          </w:tcPr>
          <w:p>
            <w:pPr>
              <w:pStyle w:val="2"/>
              <w:ind w:left="0" w:leftChars="0"/>
              <w:jc w:val="center"/>
              <w:rPr>
                <w:sz w:val="28"/>
                <w:szCs w:val="28"/>
              </w:rPr>
            </w:pPr>
            <w:r>
              <w:rPr>
                <w:rFonts w:hint="eastAsia"/>
                <w:sz w:val="28"/>
                <w:szCs w:val="28"/>
              </w:rPr>
              <w:t>王慧兰</w:t>
            </w:r>
          </w:p>
        </w:tc>
        <w:tc>
          <w:tcPr>
            <w:tcW w:w="553" w:type="pct"/>
            <w:vAlign w:val="center"/>
          </w:tcPr>
          <w:p>
            <w:pPr>
              <w:pStyle w:val="2"/>
              <w:ind w:left="0" w:leftChars="0"/>
              <w:jc w:val="center"/>
              <w:rPr>
                <w:sz w:val="28"/>
                <w:szCs w:val="28"/>
              </w:rPr>
            </w:pPr>
            <w:r>
              <w:rPr>
                <w:rFonts w:hint="eastAsia"/>
                <w:sz w:val="28"/>
                <w:szCs w:val="28"/>
              </w:rPr>
              <w:t>女</w:t>
            </w:r>
          </w:p>
        </w:tc>
        <w:tc>
          <w:tcPr>
            <w:tcW w:w="1340" w:type="pct"/>
            <w:vAlign w:val="center"/>
          </w:tcPr>
          <w:p>
            <w:pPr>
              <w:pStyle w:val="2"/>
              <w:ind w:left="0" w:leftChars="0"/>
              <w:jc w:val="center"/>
              <w:rPr>
                <w:sz w:val="28"/>
                <w:szCs w:val="28"/>
              </w:rPr>
            </w:pPr>
            <w:r>
              <w:rPr>
                <w:rFonts w:hint="eastAsia"/>
                <w:sz w:val="28"/>
                <w:szCs w:val="28"/>
              </w:rPr>
              <w:t>农业推广研究员</w:t>
            </w:r>
          </w:p>
        </w:tc>
        <w:tc>
          <w:tcPr>
            <w:tcW w:w="1420" w:type="pct"/>
          </w:tcPr>
          <w:p>
            <w:pPr>
              <w:pStyle w:val="2"/>
              <w:ind w:left="0" w:leftChars="0"/>
              <w:jc w:val="center"/>
            </w:pPr>
            <w:r>
              <w:rPr>
                <w:rFonts w:ascii="Times New Roman" w:hAnsi="Times New Roman" w:eastAsia="宋体"/>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vAlign w:val="center"/>
          </w:tcPr>
          <w:p>
            <w:pPr>
              <w:pStyle w:val="2"/>
              <w:ind w:left="0" w:leftChars="0"/>
              <w:jc w:val="center"/>
              <w:rPr>
                <w:sz w:val="28"/>
                <w:szCs w:val="28"/>
              </w:rPr>
            </w:pPr>
            <w:r>
              <w:rPr>
                <w:rFonts w:hint="eastAsia"/>
                <w:sz w:val="28"/>
                <w:szCs w:val="28"/>
              </w:rPr>
              <w:t>李岩岭</w:t>
            </w:r>
          </w:p>
        </w:tc>
        <w:tc>
          <w:tcPr>
            <w:tcW w:w="553" w:type="pct"/>
            <w:vAlign w:val="center"/>
          </w:tcPr>
          <w:p>
            <w:pPr>
              <w:pStyle w:val="2"/>
              <w:ind w:left="0" w:leftChars="0"/>
              <w:jc w:val="center"/>
              <w:rPr>
                <w:sz w:val="28"/>
                <w:szCs w:val="28"/>
              </w:rPr>
            </w:pPr>
            <w:r>
              <w:rPr>
                <w:rFonts w:hint="eastAsia"/>
                <w:sz w:val="28"/>
                <w:szCs w:val="28"/>
              </w:rPr>
              <w:t>男</w:t>
            </w:r>
          </w:p>
        </w:tc>
        <w:tc>
          <w:tcPr>
            <w:tcW w:w="1340" w:type="pct"/>
            <w:vAlign w:val="center"/>
          </w:tcPr>
          <w:p>
            <w:pPr>
              <w:pStyle w:val="2"/>
              <w:ind w:left="0" w:leftChars="0"/>
              <w:jc w:val="center"/>
              <w:rPr>
                <w:sz w:val="28"/>
                <w:szCs w:val="28"/>
              </w:rPr>
            </w:pPr>
            <w:r>
              <w:rPr>
                <w:rFonts w:hint="eastAsia"/>
                <w:sz w:val="28"/>
                <w:szCs w:val="28"/>
              </w:rPr>
              <w:t>高级工程师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1" w:type="pct"/>
            <w:vAlign w:val="center"/>
          </w:tcPr>
          <w:p>
            <w:pPr>
              <w:pStyle w:val="2"/>
              <w:ind w:left="0" w:leftChars="0"/>
              <w:jc w:val="center"/>
              <w:rPr>
                <w:sz w:val="28"/>
                <w:szCs w:val="28"/>
              </w:rPr>
            </w:pPr>
            <w:r>
              <w:rPr>
                <w:rFonts w:hint="eastAsia"/>
                <w:sz w:val="28"/>
                <w:szCs w:val="28"/>
              </w:rPr>
              <w:t>成颜君</w:t>
            </w:r>
          </w:p>
        </w:tc>
        <w:tc>
          <w:tcPr>
            <w:tcW w:w="553" w:type="pct"/>
            <w:vAlign w:val="center"/>
          </w:tcPr>
          <w:p>
            <w:pPr>
              <w:pStyle w:val="2"/>
              <w:ind w:left="0" w:leftChars="0"/>
              <w:jc w:val="center"/>
              <w:rPr>
                <w:sz w:val="28"/>
                <w:szCs w:val="28"/>
              </w:rPr>
            </w:pPr>
            <w:r>
              <w:rPr>
                <w:rFonts w:hint="eastAsia"/>
                <w:sz w:val="28"/>
                <w:szCs w:val="28"/>
              </w:rPr>
              <w:t>女</w:t>
            </w:r>
          </w:p>
        </w:tc>
        <w:tc>
          <w:tcPr>
            <w:tcW w:w="1340" w:type="pct"/>
            <w:vAlign w:val="center"/>
          </w:tcPr>
          <w:p>
            <w:pPr>
              <w:pStyle w:val="2"/>
              <w:ind w:left="0" w:leftChars="0"/>
              <w:jc w:val="center"/>
              <w:rPr>
                <w:sz w:val="28"/>
                <w:szCs w:val="28"/>
              </w:rPr>
            </w:pPr>
            <w:r>
              <w:rPr>
                <w:rFonts w:hint="eastAsia"/>
                <w:sz w:val="28"/>
                <w:szCs w:val="28"/>
              </w:rPr>
              <w:t>高级农艺师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文本完成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vAlign w:val="center"/>
          </w:tcPr>
          <w:p>
            <w:pPr>
              <w:pStyle w:val="2"/>
              <w:ind w:left="0" w:leftChars="0"/>
              <w:jc w:val="center"/>
              <w:rPr>
                <w:sz w:val="28"/>
                <w:szCs w:val="28"/>
              </w:rPr>
            </w:pPr>
            <w:r>
              <w:rPr>
                <w:rFonts w:hint="eastAsia"/>
                <w:sz w:val="28"/>
                <w:szCs w:val="28"/>
              </w:rPr>
              <w:t>李 欣</w:t>
            </w:r>
          </w:p>
        </w:tc>
        <w:tc>
          <w:tcPr>
            <w:tcW w:w="553" w:type="pct"/>
            <w:vAlign w:val="center"/>
          </w:tcPr>
          <w:p>
            <w:pPr>
              <w:pStyle w:val="2"/>
              <w:ind w:left="0" w:leftChars="0"/>
              <w:jc w:val="center"/>
              <w:rPr>
                <w:sz w:val="28"/>
                <w:szCs w:val="28"/>
              </w:rPr>
            </w:pPr>
            <w:r>
              <w:rPr>
                <w:rFonts w:hint="eastAsia"/>
                <w:sz w:val="28"/>
                <w:szCs w:val="28"/>
              </w:rPr>
              <w:t>女</w:t>
            </w:r>
          </w:p>
        </w:tc>
        <w:tc>
          <w:tcPr>
            <w:tcW w:w="1340" w:type="pct"/>
            <w:vAlign w:val="center"/>
          </w:tcPr>
          <w:p>
            <w:pPr>
              <w:pStyle w:val="2"/>
              <w:ind w:left="0" w:leftChars="0"/>
              <w:jc w:val="center"/>
              <w:rPr>
                <w:sz w:val="28"/>
                <w:szCs w:val="28"/>
              </w:rPr>
            </w:pPr>
            <w:r>
              <w:rPr>
                <w:rFonts w:hint="eastAsia"/>
                <w:sz w:val="28"/>
                <w:szCs w:val="28"/>
              </w:rPr>
              <w:t>工程师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文本完成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vAlign w:val="center"/>
          </w:tcPr>
          <w:p>
            <w:pPr>
              <w:pStyle w:val="2"/>
              <w:ind w:left="0" w:leftChars="0"/>
              <w:jc w:val="center"/>
              <w:rPr>
                <w:sz w:val="28"/>
                <w:szCs w:val="28"/>
              </w:rPr>
            </w:pPr>
            <w:r>
              <w:rPr>
                <w:rFonts w:hint="eastAsia"/>
                <w:sz w:val="28"/>
                <w:szCs w:val="28"/>
              </w:rPr>
              <w:t>马小伟</w:t>
            </w:r>
          </w:p>
        </w:tc>
        <w:tc>
          <w:tcPr>
            <w:tcW w:w="553" w:type="pct"/>
            <w:vAlign w:val="center"/>
          </w:tcPr>
          <w:p>
            <w:pPr>
              <w:pStyle w:val="2"/>
              <w:ind w:left="0" w:leftChars="0"/>
              <w:jc w:val="center"/>
              <w:rPr>
                <w:sz w:val="28"/>
                <w:szCs w:val="28"/>
              </w:rPr>
            </w:pPr>
            <w:r>
              <w:rPr>
                <w:rFonts w:hint="eastAsia"/>
                <w:sz w:val="28"/>
                <w:szCs w:val="28"/>
              </w:rPr>
              <w:t>男</w:t>
            </w:r>
          </w:p>
        </w:tc>
        <w:tc>
          <w:tcPr>
            <w:tcW w:w="1340" w:type="pct"/>
            <w:vAlign w:val="center"/>
          </w:tcPr>
          <w:p>
            <w:pPr>
              <w:pStyle w:val="2"/>
              <w:ind w:left="0" w:leftChars="0"/>
              <w:jc w:val="center"/>
              <w:rPr>
                <w:sz w:val="28"/>
                <w:szCs w:val="28"/>
              </w:rPr>
            </w:pPr>
            <w:r>
              <w:rPr>
                <w:rFonts w:hint="eastAsia"/>
                <w:sz w:val="28"/>
                <w:szCs w:val="28"/>
              </w:rPr>
              <w:t>高级农艺师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市场调研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vAlign w:val="center"/>
          </w:tcPr>
          <w:p>
            <w:pPr>
              <w:pStyle w:val="2"/>
              <w:ind w:left="0" w:leftChars="0"/>
              <w:jc w:val="center"/>
              <w:rPr>
                <w:sz w:val="28"/>
                <w:szCs w:val="28"/>
              </w:rPr>
            </w:pPr>
            <w:r>
              <w:rPr>
                <w:rFonts w:hint="eastAsia"/>
                <w:sz w:val="28"/>
                <w:szCs w:val="28"/>
              </w:rPr>
              <w:t>田 夏</w:t>
            </w:r>
          </w:p>
        </w:tc>
        <w:tc>
          <w:tcPr>
            <w:tcW w:w="553" w:type="pct"/>
            <w:vAlign w:val="center"/>
          </w:tcPr>
          <w:p>
            <w:pPr>
              <w:pStyle w:val="2"/>
              <w:ind w:left="0" w:leftChars="0"/>
              <w:jc w:val="center"/>
              <w:rPr>
                <w:sz w:val="28"/>
                <w:szCs w:val="28"/>
              </w:rPr>
            </w:pPr>
            <w:r>
              <w:rPr>
                <w:rFonts w:hint="eastAsia"/>
                <w:sz w:val="28"/>
                <w:szCs w:val="28"/>
              </w:rPr>
              <w:t>男</w:t>
            </w:r>
          </w:p>
        </w:tc>
        <w:tc>
          <w:tcPr>
            <w:tcW w:w="1340" w:type="pct"/>
            <w:vAlign w:val="center"/>
          </w:tcPr>
          <w:p>
            <w:pPr>
              <w:pStyle w:val="2"/>
              <w:ind w:left="0" w:leftChars="0"/>
              <w:jc w:val="center"/>
              <w:rPr>
                <w:sz w:val="28"/>
                <w:szCs w:val="28"/>
              </w:rPr>
            </w:pPr>
            <w:r>
              <w:rPr>
                <w:rFonts w:hint="eastAsia"/>
                <w:sz w:val="28"/>
                <w:szCs w:val="28"/>
              </w:rPr>
              <w:t>高级工程师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市场调研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1" w:type="pct"/>
            <w:vAlign w:val="center"/>
          </w:tcPr>
          <w:p>
            <w:pPr>
              <w:pStyle w:val="2"/>
              <w:ind w:left="0" w:leftChars="0"/>
              <w:jc w:val="center"/>
              <w:rPr>
                <w:sz w:val="28"/>
                <w:szCs w:val="28"/>
              </w:rPr>
            </w:pPr>
            <w:r>
              <w:rPr>
                <w:rFonts w:hint="eastAsia"/>
                <w:sz w:val="28"/>
                <w:szCs w:val="28"/>
              </w:rPr>
              <w:t>崔 霞</w:t>
            </w:r>
          </w:p>
        </w:tc>
        <w:tc>
          <w:tcPr>
            <w:tcW w:w="553" w:type="pct"/>
            <w:vAlign w:val="center"/>
          </w:tcPr>
          <w:p>
            <w:pPr>
              <w:pStyle w:val="2"/>
              <w:ind w:left="0" w:leftChars="0"/>
              <w:jc w:val="center"/>
              <w:rPr>
                <w:sz w:val="28"/>
                <w:szCs w:val="28"/>
              </w:rPr>
            </w:pPr>
            <w:r>
              <w:rPr>
                <w:rFonts w:hint="eastAsia"/>
                <w:sz w:val="28"/>
                <w:szCs w:val="28"/>
              </w:rPr>
              <w:t>女</w:t>
            </w:r>
          </w:p>
        </w:tc>
        <w:tc>
          <w:tcPr>
            <w:tcW w:w="1340" w:type="pct"/>
            <w:vAlign w:val="center"/>
          </w:tcPr>
          <w:p>
            <w:pPr>
              <w:pStyle w:val="2"/>
              <w:ind w:left="0" w:leftChars="0"/>
              <w:jc w:val="center"/>
              <w:rPr>
                <w:sz w:val="28"/>
                <w:szCs w:val="28"/>
              </w:rPr>
            </w:pPr>
            <w:r>
              <w:rPr>
                <w:rFonts w:hint="eastAsia"/>
                <w:sz w:val="28"/>
                <w:szCs w:val="28"/>
              </w:rPr>
              <w:t>高级农艺师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数据处理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pct"/>
            <w:vAlign w:val="center"/>
          </w:tcPr>
          <w:p>
            <w:pPr>
              <w:pStyle w:val="2"/>
              <w:ind w:left="0" w:leftChars="0"/>
              <w:jc w:val="center"/>
              <w:rPr>
                <w:sz w:val="28"/>
                <w:szCs w:val="28"/>
              </w:rPr>
            </w:pPr>
            <w:r>
              <w:rPr>
                <w:rFonts w:hint="eastAsia"/>
                <w:sz w:val="28"/>
                <w:szCs w:val="28"/>
              </w:rPr>
              <w:t>段俐敏</w:t>
            </w:r>
          </w:p>
        </w:tc>
        <w:tc>
          <w:tcPr>
            <w:tcW w:w="553" w:type="pct"/>
            <w:vAlign w:val="center"/>
          </w:tcPr>
          <w:p>
            <w:pPr>
              <w:pStyle w:val="2"/>
              <w:ind w:left="0" w:leftChars="0"/>
              <w:jc w:val="center"/>
              <w:rPr>
                <w:sz w:val="28"/>
                <w:szCs w:val="28"/>
              </w:rPr>
            </w:pPr>
            <w:r>
              <w:rPr>
                <w:rFonts w:hint="eastAsia"/>
                <w:sz w:val="28"/>
                <w:szCs w:val="28"/>
              </w:rPr>
              <w:t>女</w:t>
            </w:r>
          </w:p>
        </w:tc>
        <w:tc>
          <w:tcPr>
            <w:tcW w:w="1340" w:type="pct"/>
            <w:vAlign w:val="center"/>
          </w:tcPr>
          <w:p>
            <w:pPr>
              <w:pStyle w:val="2"/>
              <w:ind w:left="0" w:leftChars="0"/>
              <w:jc w:val="center"/>
              <w:rPr>
                <w:sz w:val="28"/>
                <w:szCs w:val="28"/>
              </w:rPr>
            </w:pPr>
            <w:r>
              <w:rPr>
                <w:rFonts w:hint="eastAsia"/>
                <w:sz w:val="28"/>
                <w:szCs w:val="28"/>
              </w:rPr>
              <w:t>高级农艺师</w:t>
            </w:r>
          </w:p>
        </w:tc>
        <w:tc>
          <w:tcPr>
            <w:tcW w:w="1420" w:type="pct"/>
          </w:tcPr>
          <w:p>
            <w:r>
              <w:rPr>
                <w:sz w:val="18"/>
                <w:szCs w:val="18"/>
              </w:rPr>
              <w:t>山西省检验检测中心（山西省标准计量技术研究院）</w:t>
            </w:r>
          </w:p>
        </w:tc>
        <w:tc>
          <w:tcPr>
            <w:tcW w:w="996" w:type="pct"/>
            <w:vAlign w:val="center"/>
          </w:tcPr>
          <w:p>
            <w:pPr>
              <w:pStyle w:val="2"/>
              <w:ind w:left="0" w:leftChars="0"/>
              <w:jc w:val="center"/>
              <w:rPr>
                <w:sz w:val="28"/>
                <w:szCs w:val="28"/>
              </w:rPr>
            </w:pPr>
            <w:r>
              <w:rPr>
                <w:rFonts w:hint="eastAsia"/>
                <w:sz w:val="28"/>
                <w:szCs w:val="28"/>
              </w:rPr>
              <w:t>数据处理</w:t>
            </w:r>
          </w:p>
        </w:tc>
      </w:tr>
    </w:tbl>
    <w:p>
      <w:pPr>
        <w:numPr>
          <w:ilvl w:val="0"/>
          <w:numId w:val="3"/>
        </w:numPr>
        <w:spacing w:line="360" w:lineRule="auto"/>
        <w:ind w:firstLine="629" w:firstLineChars="196"/>
        <w:rPr>
          <w:rFonts w:ascii="宋体" w:hAnsi="宋体"/>
          <w:b/>
          <w:sz w:val="32"/>
          <w:szCs w:val="32"/>
        </w:rPr>
      </w:pPr>
      <w:r>
        <w:rPr>
          <w:rFonts w:hint="eastAsia" w:ascii="宋体" w:hAnsi="宋体"/>
          <w:b/>
          <w:sz w:val="32"/>
          <w:szCs w:val="32"/>
        </w:rPr>
        <w:t>制定标准的必要性和意义</w:t>
      </w:r>
    </w:p>
    <w:p>
      <w:pPr>
        <w:pStyle w:val="4"/>
        <w:spacing w:before="0" w:beforeAutospacing="0" w:after="0" w:afterAutospacing="0" w:line="600" w:lineRule="exact"/>
        <w:ind w:firstLine="560" w:firstLineChars="200"/>
        <w:jc w:val="both"/>
        <w:rPr>
          <w:rFonts w:hint="eastAsia" w:ascii="CESI仿宋-GB2312" w:hAnsi="CESI仿宋-GB2312" w:eastAsia="CESI仿宋-GB2312" w:cs="CESI仿宋-GB2312"/>
          <w:kern w:val="2"/>
          <w:sz w:val="28"/>
          <w:szCs w:val="28"/>
        </w:rPr>
      </w:pPr>
      <w:r>
        <w:rPr>
          <w:rFonts w:hint="eastAsia" w:ascii="CESI仿宋-GB2312" w:hAnsi="CESI仿宋-GB2312" w:eastAsia="CESI仿宋-GB2312" w:cs="CESI仿宋-GB2312"/>
          <w:kern w:val="2"/>
          <w:sz w:val="28"/>
          <w:szCs w:val="28"/>
        </w:rPr>
        <w:t>冬枣被誉为“水果中的珍品”，有“百果之王”和“活维生素丸”的美誉,其富含的维生素C是苹果的70倍、梨的140倍，金丝小枣的20倍，富含</w:t>
      </w:r>
      <w:r>
        <w:rPr>
          <w:rFonts w:hint="eastAsia" w:ascii="CESI仿宋-GB2312" w:hAnsi="CESI仿宋-GB2312" w:eastAsia="CESI仿宋-GB2312" w:cs="CESI仿宋-GB2312"/>
          <w:sz w:val="28"/>
          <w:szCs w:val="28"/>
        </w:rPr>
        <w:fldChar w:fldCharType="begin"/>
      </w:r>
      <w:r>
        <w:rPr>
          <w:rFonts w:hint="eastAsia" w:ascii="CESI仿宋-GB2312" w:hAnsi="CESI仿宋-GB2312" w:eastAsia="CESI仿宋-GB2312" w:cs="CESI仿宋-GB2312"/>
          <w:sz w:val="28"/>
          <w:szCs w:val="28"/>
        </w:rPr>
        <w:instrText xml:space="preserve"> HYPERLINK "http://www.so.com/s?q=%E7%BB%B4%E7%94%9F%E7%B4%A0A&amp;ie=utf-8&amp;src=wenda_link" \t "_blank" </w:instrText>
      </w:r>
      <w:r>
        <w:rPr>
          <w:rFonts w:hint="eastAsia" w:ascii="CESI仿宋-GB2312" w:hAnsi="CESI仿宋-GB2312" w:eastAsia="CESI仿宋-GB2312" w:cs="CESI仿宋-GB2312"/>
          <w:sz w:val="28"/>
          <w:szCs w:val="28"/>
        </w:rPr>
        <w:fldChar w:fldCharType="separate"/>
      </w:r>
      <w:r>
        <w:rPr>
          <w:rFonts w:hint="eastAsia" w:ascii="CESI仿宋-GB2312" w:hAnsi="CESI仿宋-GB2312" w:eastAsia="CESI仿宋-GB2312" w:cs="CESI仿宋-GB2312"/>
          <w:kern w:val="2"/>
          <w:sz w:val="28"/>
          <w:szCs w:val="28"/>
        </w:rPr>
        <w:t>维生素A</w:t>
      </w:r>
      <w:r>
        <w:rPr>
          <w:rFonts w:hint="eastAsia" w:ascii="CESI仿宋-GB2312" w:hAnsi="CESI仿宋-GB2312" w:eastAsia="CESI仿宋-GB2312" w:cs="CESI仿宋-GB2312"/>
          <w:kern w:val="2"/>
          <w:sz w:val="28"/>
          <w:szCs w:val="28"/>
        </w:rPr>
        <w:fldChar w:fldCharType="end"/>
      </w:r>
      <w:r>
        <w:rPr>
          <w:rFonts w:hint="eastAsia" w:ascii="CESI仿宋-GB2312" w:hAnsi="CESI仿宋-GB2312" w:eastAsia="CESI仿宋-GB2312" w:cs="CESI仿宋-GB2312"/>
          <w:kern w:val="2"/>
          <w:sz w:val="28"/>
          <w:szCs w:val="28"/>
        </w:rPr>
        <w:t>、</w:t>
      </w:r>
      <w:r>
        <w:rPr>
          <w:rFonts w:hint="eastAsia" w:ascii="CESI仿宋-GB2312" w:hAnsi="CESI仿宋-GB2312" w:eastAsia="CESI仿宋-GB2312" w:cs="CESI仿宋-GB2312"/>
          <w:sz w:val="28"/>
          <w:szCs w:val="28"/>
        </w:rPr>
        <w:fldChar w:fldCharType="begin"/>
      </w:r>
      <w:r>
        <w:rPr>
          <w:rFonts w:hint="eastAsia" w:ascii="CESI仿宋-GB2312" w:hAnsi="CESI仿宋-GB2312" w:eastAsia="CESI仿宋-GB2312" w:cs="CESI仿宋-GB2312"/>
          <w:sz w:val="28"/>
          <w:szCs w:val="28"/>
        </w:rPr>
        <w:instrText xml:space="preserve"> HYPERLINK "http://www.so.com/s?q=%E7%BB%B4%E7%94%9F%E7%B4%A0E&amp;ie=utf-8&amp;src=wenda_link" \t "_blank" </w:instrText>
      </w:r>
      <w:r>
        <w:rPr>
          <w:rFonts w:hint="eastAsia" w:ascii="CESI仿宋-GB2312" w:hAnsi="CESI仿宋-GB2312" w:eastAsia="CESI仿宋-GB2312" w:cs="CESI仿宋-GB2312"/>
          <w:sz w:val="28"/>
          <w:szCs w:val="28"/>
        </w:rPr>
        <w:fldChar w:fldCharType="separate"/>
      </w:r>
      <w:r>
        <w:rPr>
          <w:rFonts w:hint="eastAsia" w:ascii="CESI仿宋-GB2312" w:hAnsi="CESI仿宋-GB2312" w:eastAsia="CESI仿宋-GB2312" w:cs="CESI仿宋-GB2312"/>
          <w:kern w:val="2"/>
          <w:sz w:val="28"/>
          <w:szCs w:val="28"/>
        </w:rPr>
        <w:t>维生素E</w:t>
      </w:r>
      <w:r>
        <w:rPr>
          <w:rFonts w:hint="eastAsia" w:ascii="CESI仿宋-GB2312" w:hAnsi="CESI仿宋-GB2312" w:eastAsia="CESI仿宋-GB2312" w:cs="CESI仿宋-GB2312"/>
          <w:kern w:val="2"/>
          <w:sz w:val="28"/>
          <w:szCs w:val="28"/>
        </w:rPr>
        <w:fldChar w:fldCharType="end"/>
      </w:r>
      <w:r>
        <w:rPr>
          <w:rFonts w:hint="eastAsia" w:ascii="CESI仿宋-GB2312" w:hAnsi="CESI仿宋-GB2312" w:eastAsia="CESI仿宋-GB2312" w:cs="CESI仿宋-GB2312"/>
          <w:kern w:val="2"/>
          <w:sz w:val="28"/>
          <w:szCs w:val="28"/>
        </w:rPr>
        <w:t>和钾、钠、铁、铜等多种微量元素。因其口感好、营养价值高，是目前市场上最受欢迎的鲜食枣品种。</w:t>
      </w:r>
    </w:p>
    <w:p>
      <w:pPr>
        <w:spacing w:line="600" w:lineRule="exact"/>
        <w:ind w:firstLine="560" w:firstLineChars="200"/>
        <w:jc w:val="both"/>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我省是冬枣的主产地，主要集中在我省运城、临汾、吕梁等中南部地区，常年种植面积20多万亩，年产量近2亿公斤。尤其运城市临猗县作为冬枣的优势生产区曾荣获“中国枣业十强县”的荣誉称号。但枣园的连年生产、矮化密植的栽培方式以及主产区高温高湿的气候条件，加剧了冬枣病虫害的发生，枣农为追求立竿见影的防治效果往往加大施药量或滥用农药，造成冬枣农药残留超标，品质下降，口感变差，严重影响了人民的消费信心和产业发展。2016年和2018年曾制定了“无公害冬枣生产技术规程”“设施冬枣无公害生产技术规程”，但因政策性原因进行了清理作废，目前冬枣生产无标可依，枣农急盼有相关替代标准可用。</w:t>
      </w:r>
    </w:p>
    <w:p>
      <w:pPr>
        <w:spacing w:line="600" w:lineRule="exact"/>
        <w:ind w:right="17" w:firstLine="560" w:firstLineChars="200"/>
        <w:jc w:val="both"/>
        <w:rPr>
          <w:rFonts w:hint="eastAsia" w:ascii="CESI仿宋-GB2312" w:hAnsi="CESI仿宋-GB2312" w:eastAsia="CESI仿宋-GB2312" w:cs="CESI仿宋-GB2312"/>
          <w:b/>
          <w:sz w:val="28"/>
          <w:szCs w:val="28"/>
        </w:rPr>
      </w:pPr>
      <w:r>
        <w:rPr>
          <w:rFonts w:hint="eastAsia" w:ascii="CESI仿宋-GB2312" w:hAnsi="CESI仿宋-GB2312" w:eastAsia="CESI仿宋-GB2312" w:cs="CESI仿宋-GB2312"/>
          <w:sz w:val="28"/>
          <w:szCs w:val="28"/>
        </w:rPr>
        <w:t>因此，研究和制定冬枣生产质量控制技术规程、提升冬枣品质及质量安全水平尤为必要，以填补我省该领域的空白，助力冬枣产业的高质量健康发展。</w:t>
      </w:r>
    </w:p>
    <w:p>
      <w:pPr>
        <w:numPr>
          <w:ilvl w:val="0"/>
          <w:numId w:val="3"/>
        </w:numPr>
        <w:spacing w:line="360" w:lineRule="auto"/>
        <w:ind w:firstLine="629" w:firstLineChars="196"/>
        <w:rPr>
          <w:rFonts w:ascii="宋体" w:hAnsi="宋体"/>
          <w:b/>
          <w:sz w:val="32"/>
          <w:szCs w:val="32"/>
        </w:rPr>
      </w:pPr>
      <w:r>
        <w:rPr>
          <w:rFonts w:hint="eastAsia" w:ascii="宋体" w:hAnsi="宋体"/>
          <w:b/>
          <w:sz w:val="32"/>
          <w:szCs w:val="32"/>
        </w:rPr>
        <w:t>主要起草工作过程</w:t>
      </w:r>
    </w:p>
    <w:p>
      <w:pPr>
        <w:adjustRightInd w:val="0"/>
        <w:spacing w:line="600" w:lineRule="exact"/>
        <w:ind w:right="17"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2023年2月～4月，根据2023年度地方标准指定指南，开展标准制定的前期准备工作；</w:t>
      </w:r>
    </w:p>
    <w:p>
      <w:pPr>
        <w:adjustRightInd w:val="0"/>
        <w:spacing w:line="600" w:lineRule="exact"/>
        <w:ind w:right="17"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2023年5月，提出标准制定申请，起草了标准文本草案；</w:t>
      </w:r>
    </w:p>
    <w:p>
      <w:pPr>
        <w:adjustRightInd w:val="0"/>
        <w:spacing w:line="600" w:lineRule="exact"/>
        <w:ind w:right="17"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2023年6月9日，山西省市场监督管理局标准管理处组织专家召开立项答辩评审会；</w:t>
      </w:r>
    </w:p>
    <w:p>
      <w:pPr>
        <w:adjustRightInd w:val="0"/>
        <w:spacing w:line="600" w:lineRule="exact"/>
        <w:ind w:right="17"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2023年10月20日，山西省市场监督管理局下达省级地方标准制修订项目计划；</w:t>
      </w:r>
    </w:p>
    <w:p>
      <w:pPr>
        <w:adjustRightInd w:val="0"/>
        <w:spacing w:line="600" w:lineRule="exact"/>
        <w:ind w:right="17"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2023年11月，我所召开专题会议，成立标准制修订项目小组；</w:t>
      </w:r>
    </w:p>
    <w:p>
      <w:pPr>
        <w:adjustRightInd w:val="0"/>
        <w:spacing w:line="600" w:lineRule="exact"/>
        <w:ind w:right="17"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2023年12月～2024年3月，进行了省内外相关情况和资料的调研收集，咨询了山西省农业农村厅及主产区单位有关专家并查阅收集了大量的基础资料；</w:t>
      </w:r>
    </w:p>
    <w:p>
      <w:pPr>
        <w:pStyle w:val="2"/>
        <w:spacing w:line="600" w:lineRule="exact"/>
        <w:ind w:left="0" w:leftChars="0"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2024年4月～2024年5月，对标准草案进行补充完善；</w:t>
      </w:r>
    </w:p>
    <w:p>
      <w:pPr>
        <w:pStyle w:val="2"/>
        <w:spacing w:line="600" w:lineRule="exact"/>
        <w:ind w:left="0" w:leftChars="0"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2024年6月～2024年8月，进行主要技术指标的验证；</w:t>
      </w:r>
    </w:p>
    <w:p>
      <w:pPr>
        <w:pStyle w:val="2"/>
        <w:spacing w:line="600" w:lineRule="exact"/>
        <w:ind w:left="0" w:leftChars="0"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2024年9月，完成征求意见稿，向我省冬枣生产、科研、检测、管理等单位广泛征求意见，并根据反馈意见对标准进行完善，形成了初审稿。</w:t>
      </w:r>
    </w:p>
    <w:p>
      <w:pPr>
        <w:pStyle w:val="2"/>
        <w:spacing w:line="600" w:lineRule="exact"/>
        <w:ind w:left="0" w:leftChars="0" w:firstLine="560" w:firstLineChars="200"/>
        <w:rPr>
          <w:rFonts w:hint="eastAsia" w:ascii="CESI仿宋-GB2312" w:hAnsi="CESI仿宋-GB2312" w:eastAsia="CESI仿宋-GB2312" w:cs="CESI仿宋-GB2312"/>
          <w:bCs/>
          <w:sz w:val="28"/>
          <w:szCs w:val="28"/>
        </w:rPr>
      </w:pPr>
      <w:r>
        <w:rPr>
          <w:rFonts w:hint="eastAsia" w:ascii="CESI仿宋-GB2312" w:hAnsi="CESI仿宋-GB2312" w:eastAsia="CESI仿宋-GB2312" w:cs="CESI仿宋-GB2312"/>
          <w:bCs/>
          <w:sz w:val="28"/>
          <w:szCs w:val="28"/>
        </w:rPr>
        <w:t>2024年10月19日，山西省农业农村标准化技术委员会开展省级农业地方标准制修订项目技术初审。按照初审评委提出的意见进行认真修改，形成征求意见稿。</w:t>
      </w:r>
    </w:p>
    <w:p>
      <w:pPr>
        <w:pStyle w:val="15"/>
        <w:spacing w:line="360" w:lineRule="auto"/>
        <w:ind w:firstLine="642" w:firstLineChars="200"/>
        <w:rPr>
          <w:rFonts w:ascii="宋体" w:hAnsi="宋体"/>
          <w:b/>
          <w:sz w:val="32"/>
          <w:szCs w:val="32"/>
        </w:rPr>
      </w:pPr>
      <w:r>
        <w:rPr>
          <w:rFonts w:hint="eastAsia" w:ascii="宋体" w:hAnsi="宋体"/>
          <w:b/>
          <w:sz w:val="32"/>
          <w:szCs w:val="32"/>
        </w:rPr>
        <w:t>四、制定标准的原则和依据，与现行法律、法规、标准的关系</w:t>
      </w:r>
    </w:p>
    <w:p>
      <w:pPr>
        <w:spacing w:line="600" w:lineRule="exact"/>
        <w:ind w:firstLine="472" w:firstLineChars="147"/>
        <w:rPr>
          <w:rFonts w:ascii="楷体_GB2312" w:hAnsi="宋体" w:eastAsia="楷体_GB2312"/>
          <w:b/>
          <w:bCs w:val="0"/>
          <w:sz w:val="32"/>
          <w:szCs w:val="32"/>
        </w:rPr>
      </w:pPr>
      <w:r>
        <w:rPr>
          <w:rFonts w:hint="eastAsia" w:ascii="楷体_GB2312" w:hAnsi="宋体" w:eastAsia="楷体_GB2312"/>
          <w:b/>
          <w:bCs w:val="0"/>
          <w:sz w:val="32"/>
          <w:szCs w:val="32"/>
        </w:rPr>
        <w:t>（一）</w:t>
      </w:r>
      <w:r>
        <w:rPr>
          <w:rFonts w:hint="eastAsia" w:ascii="楷体_GB2312" w:hAnsi="宋体" w:eastAsia="楷体_GB2312"/>
          <w:b/>
          <w:bCs w:val="0"/>
          <w:sz w:val="32"/>
          <w:szCs w:val="32"/>
          <w:lang w:eastAsia="zh-CN"/>
        </w:rPr>
        <w:t>制定标准的</w:t>
      </w:r>
      <w:r>
        <w:rPr>
          <w:rFonts w:hint="eastAsia" w:ascii="楷体_GB2312" w:hAnsi="宋体" w:eastAsia="楷体_GB2312"/>
          <w:b/>
          <w:bCs w:val="0"/>
          <w:sz w:val="32"/>
          <w:szCs w:val="32"/>
        </w:rPr>
        <w:t>原则和依据</w:t>
      </w:r>
    </w:p>
    <w:p>
      <w:pPr>
        <w:ind w:firstLine="560" w:firstLineChars="200"/>
        <w:jc w:val="left"/>
        <w:rPr>
          <w:rFonts w:hint="eastAsia" w:ascii="CESI仿宋-GB2312" w:hAnsi="CESI仿宋-GB2312" w:eastAsia="CESI仿宋-GB2312" w:cs="CESI仿宋-GB2312"/>
          <w:b/>
          <w:bCs/>
          <w:sz w:val="28"/>
          <w:szCs w:val="28"/>
        </w:rPr>
      </w:pPr>
      <w:r>
        <w:rPr>
          <w:rFonts w:hint="eastAsia" w:ascii="CESI仿宋-GB2312" w:hAnsi="CESI仿宋-GB2312" w:eastAsia="CESI仿宋-GB2312" w:cs="CESI仿宋-GB2312"/>
          <w:b/>
          <w:bCs/>
          <w:sz w:val="28"/>
          <w:szCs w:val="28"/>
        </w:rPr>
        <w:t>1、科学性原则</w:t>
      </w:r>
    </w:p>
    <w:p>
      <w:pPr>
        <w:pStyle w:val="16"/>
        <w:ind w:firstLine="560"/>
        <w:rPr>
          <w:rFonts w:hint="eastAsia" w:ascii="CESI仿宋-GB2312" w:hAnsi="CESI仿宋-GB2312" w:eastAsia="CESI仿宋-GB2312" w:cs="CESI仿宋-GB2312"/>
          <w:kern w:val="2"/>
          <w:sz w:val="28"/>
          <w:szCs w:val="28"/>
        </w:rPr>
      </w:pPr>
      <w:r>
        <w:rPr>
          <w:rFonts w:hint="eastAsia" w:ascii="CESI仿宋-GB2312" w:hAnsi="CESI仿宋-GB2312" w:eastAsia="CESI仿宋-GB2312" w:cs="CESI仿宋-GB2312"/>
          <w:kern w:val="2"/>
          <w:sz w:val="28"/>
          <w:szCs w:val="28"/>
        </w:rPr>
        <w:t>本标准在充分调研基础上，参考学习了GB 2763《食品安全国家标准 食品中最大农药残留限量》、GB 5084《农田灌溉水质标准》等有关标准要求，结合</w:t>
      </w:r>
      <w:r>
        <w:rPr>
          <w:rFonts w:hint="eastAsia" w:ascii="CESI仿宋-GB2312" w:hAnsi="CESI仿宋-GB2312" w:eastAsia="CESI仿宋-GB2312" w:cs="CESI仿宋-GB2312"/>
          <w:sz w:val="28"/>
          <w:szCs w:val="28"/>
        </w:rPr>
        <w:t>分析近年来100余个实验数据的基础上，通过调查、研究、试验</w:t>
      </w:r>
      <w:r>
        <w:rPr>
          <w:rFonts w:hint="eastAsia" w:ascii="CESI仿宋-GB2312" w:hAnsi="CESI仿宋-GB2312" w:eastAsia="CESI仿宋-GB2312" w:cs="CESI仿宋-GB2312"/>
          <w:kern w:val="2"/>
          <w:sz w:val="28"/>
          <w:szCs w:val="28"/>
        </w:rPr>
        <w:t>，并在充分听取各方意见的基础上，科学编制了《冬枣生产质量控制技术规程》。</w:t>
      </w:r>
    </w:p>
    <w:p>
      <w:pPr>
        <w:ind w:firstLine="560" w:firstLineChars="200"/>
        <w:jc w:val="left"/>
        <w:rPr>
          <w:rFonts w:hint="eastAsia" w:ascii="CESI仿宋-GB2312" w:hAnsi="CESI仿宋-GB2312" w:eastAsia="CESI仿宋-GB2312" w:cs="CESI仿宋-GB2312"/>
          <w:b/>
          <w:bCs/>
          <w:sz w:val="28"/>
          <w:szCs w:val="28"/>
        </w:rPr>
      </w:pPr>
      <w:r>
        <w:rPr>
          <w:rFonts w:hint="eastAsia" w:ascii="CESI仿宋-GB2312" w:hAnsi="CESI仿宋-GB2312" w:eastAsia="CESI仿宋-GB2312" w:cs="CESI仿宋-GB2312"/>
          <w:b/>
          <w:bCs/>
          <w:sz w:val="28"/>
          <w:szCs w:val="28"/>
        </w:rPr>
        <w:t>2、适用性原则</w:t>
      </w:r>
    </w:p>
    <w:p>
      <w:pPr>
        <w:spacing w:line="560" w:lineRule="exact"/>
        <w:ind w:firstLine="560" w:firstLineChars="200"/>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本标准</w:t>
      </w:r>
      <w:r>
        <w:rPr>
          <w:rFonts w:hint="eastAsia" w:ascii="CESI仿宋-GB2312" w:hAnsi="CESI仿宋-GB2312" w:eastAsia="CESI仿宋-GB2312" w:cs="CESI仿宋-GB2312"/>
          <w:color w:val="000000"/>
          <w:sz w:val="28"/>
          <w:szCs w:val="28"/>
        </w:rPr>
        <w:t>结合山西本土气候特点和实际生产实践，</w:t>
      </w:r>
      <w:r>
        <w:rPr>
          <w:rFonts w:hint="eastAsia" w:ascii="CESI仿宋-GB2312" w:hAnsi="CESI仿宋-GB2312" w:eastAsia="CESI仿宋-GB2312" w:cs="CESI仿宋-GB2312"/>
          <w:sz w:val="28"/>
          <w:szCs w:val="28"/>
        </w:rPr>
        <w:t>针对冬枣生产的关键环节，包括气候要求、土壤要求、水质要求、</w:t>
      </w:r>
      <w:r>
        <w:rPr>
          <w:rStyle w:val="14"/>
          <w:rFonts w:hint="eastAsia" w:ascii="CESI仿宋-GB2312" w:hAnsi="CESI仿宋-GB2312" w:eastAsia="CESI仿宋-GB2312" w:cs="CESI仿宋-GB2312"/>
          <w:color w:val="auto"/>
          <w:sz w:val="28"/>
          <w:szCs w:val="28"/>
          <w:u w:val="none"/>
        </w:rPr>
        <w:t>花果管理</w:t>
      </w:r>
      <w:r>
        <w:rPr>
          <w:rFonts w:hint="eastAsia" w:ascii="CESI仿宋-GB2312" w:hAnsi="CESI仿宋-GB2312" w:eastAsia="CESI仿宋-GB2312" w:cs="CESI仿宋-GB2312"/>
          <w:sz w:val="28"/>
          <w:szCs w:val="28"/>
        </w:rPr>
        <w:t>、</w:t>
      </w:r>
      <w:r>
        <w:rPr>
          <w:rStyle w:val="14"/>
          <w:rFonts w:hint="eastAsia" w:ascii="CESI仿宋-GB2312" w:hAnsi="CESI仿宋-GB2312" w:eastAsia="CESI仿宋-GB2312" w:cs="CESI仿宋-GB2312"/>
          <w:color w:val="auto"/>
          <w:sz w:val="28"/>
          <w:szCs w:val="28"/>
          <w:u w:val="none"/>
        </w:rPr>
        <w:t>水肥管理、</w:t>
      </w:r>
      <w:r>
        <w:rPr>
          <w:rFonts w:hint="eastAsia" w:ascii="CESI仿宋-GB2312" w:hAnsi="CESI仿宋-GB2312" w:eastAsia="CESI仿宋-GB2312" w:cs="CESI仿宋-GB2312"/>
          <w:sz w:val="28"/>
          <w:szCs w:val="28"/>
        </w:rPr>
        <w:t>病虫害防治、产品质量检测、储藏保鲜等技术进行了系统性、规范性的梳理，并对规范适宜范围进行了严格限定，确保本标准的适用性和可操作性，使标准更加贴近生产实际，满足生</w:t>
      </w:r>
      <w:r>
        <w:rPr>
          <w:rFonts w:hint="eastAsia" w:ascii="CESI仿宋-GB2312" w:hAnsi="CESI仿宋-GB2312" w:eastAsia="CESI仿宋-GB2312" w:cs="CESI仿宋-GB2312"/>
          <w:color w:val="000000"/>
          <w:sz w:val="28"/>
          <w:szCs w:val="28"/>
        </w:rPr>
        <w:t>产、出口质量安全及人们鲜食的要求。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CESI仿宋-GB2312" w:hAnsi="CESI仿宋-GB2312" w:eastAsia="CESI仿宋-GB2312" w:cs="CESI仿宋-GB2312"/>
          <w:b/>
          <w:bCs/>
          <w:sz w:val="28"/>
          <w:szCs w:val="28"/>
        </w:rPr>
      </w:pPr>
      <w:r>
        <w:rPr>
          <w:rFonts w:hint="eastAsia" w:ascii="CESI仿宋-GB2312" w:hAnsi="CESI仿宋-GB2312" w:eastAsia="CESI仿宋-GB2312" w:cs="CESI仿宋-GB2312"/>
          <w:b/>
          <w:bCs/>
          <w:sz w:val="28"/>
          <w:szCs w:val="28"/>
        </w:rPr>
        <w:t>3、规范性原则</w:t>
      </w:r>
    </w:p>
    <w:p>
      <w:pPr>
        <w:adjustRightInd w:val="0"/>
        <w:spacing w:line="560" w:lineRule="exact"/>
        <w:ind w:right="17" w:firstLine="560" w:firstLineChars="200"/>
        <w:rPr>
          <w:rFonts w:hint="eastAsia" w:ascii="CESI仿宋-GB2312" w:hAnsi="CESI仿宋-GB2312" w:eastAsia="CESI仿宋-GB2312" w:cs="CESI仿宋-GB2312"/>
          <w:sz w:val="28"/>
          <w:szCs w:val="28"/>
        </w:rPr>
      </w:pPr>
      <w:r>
        <w:rPr>
          <w:rFonts w:hint="eastAsia" w:ascii="CESI仿宋-GB2312" w:hAnsi="CESI仿宋-GB2312" w:eastAsia="CESI仿宋-GB2312" w:cs="CESI仿宋-GB2312"/>
          <w:sz w:val="28"/>
          <w:szCs w:val="28"/>
        </w:rPr>
        <w:t>本标准依据GB/T 1.1—2020《标准化工作导则  第1部分：标准化文件的结构和起草规则》、DB14/T1665—2022《地方标准制定工作规范》和DB14/T2577-2022《地方标准技术审查工作规范》的规定起草，引用的国家标准和行业标准均是现行有效版本，标准文本对冬枣栽培的适宜范围及栽培各环节进行了规定和说明，其内容符合国家有关法律法规和政策，确保标准的规范性。</w:t>
      </w:r>
    </w:p>
    <w:p>
      <w:pPr>
        <w:pStyle w:val="15"/>
        <w:spacing w:line="360" w:lineRule="auto"/>
        <w:ind w:firstLine="642" w:firstLineChars="200"/>
        <w:rPr>
          <w:rFonts w:hint="eastAsia" w:ascii="楷体_GB2312" w:hAnsi="宋体" w:eastAsia="楷体_GB2312" w:cs="Times New Roman"/>
          <w:b/>
          <w:bCs w:val="0"/>
          <w:kern w:val="2"/>
          <w:sz w:val="32"/>
          <w:szCs w:val="32"/>
          <w:lang w:val="en-US" w:eastAsia="zh-CN" w:bidi="ar-SA"/>
        </w:rPr>
      </w:pPr>
      <w:r>
        <w:rPr>
          <w:rFonts w:hint="eastAsia" w:ascii="楷体_GB2312" w:hAnsi="宋体" w:eastAsia="楷体_GB2312" w:cs="Times New Roman"/>
          <w:b/>
          <w:bCs w:val="0"/>
          <w:kern w:val="2"/>
          <w:sz w:val="32"/>
          <w:szCs w:val="32"/>
          <w:lang w:val="en-US" w:eastAsia="zh-CN" w:bidi="ar-SA"/>
        </w:rPr>
        <w:t>（二）与现行法律、法规的关系</w:t>
      </w:r>
    </w:p>
    <w:p>
      <w:pPr>
        <w:adjustRightInd w:val="0"/>
        <w:spacing w:line="360" w:lineRule="auto"/>
        <w:ind w:firstLine="560" w:firstLineChars="200"/>
        <w:jc w:val="left"/>
        <w:rPr>
          <w:rFonts w:ascii="仿宋_GB2312" w:eastAsia="仿宋_GB2312"/>
          <w:kern w:val="0"/>
          <w:sz w:val="28"/>
          <w:szCs w:val="28"/>
        </w:rPr>
      </w:pPr>
      <w:r>
        <w:rPr>
          <w:rFonts w:hint="eastAsia" w:ascii="仿宋_GB2312" w:eastAsia="仿宋_GB2312"/>
          <w:kern w:val="0"/>
          <w:sz w:val="28"/>
          <w:szCs w:val="28"/>
        </w:rPr>
        <w:t>本标准严格执行《中华人民共和国标准化法》《中华人民共和国农业法》《农业标准化管理办法》等国家有关法律法规及方针、政策，各项技术内容与我国目前颁布的相关法律、法规和标准无冲突。</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楷体_GB2312" w:hAnsi="宋体" w:eastAsia="楷体_GB2312"/>
          <w:b/>
          <w:bCs w:val="0"/>
          <w:sz w:val="32"/>
          <w:szCs w:val="32"/>
          <w:lang w:eastAsia="zh-CN"/>
        </w:rPr>
      </w:pPr>
      <w:r>
        <w:rPr>
          <w:rFonts w:hint="eastAsia" w:ascii="楷体_GB2312" w:hAnsi="宋体" w:eastAsia="楷体_GB2312" w:cs="Times New Roman"/>
          <w:b/>
          <w:bCs w:val="0"/>
          <w:kern w:val="2"/>
          <w:sz w:val="32"/>
          <w:szCs w:val="32"/>
          <w:lang w:val="en-US" w:eastAsia="zh-CN" w:bidi="ar-SA"/>
        </w:rPr>
        <w:t>（三）</w:t>
      </w:r>
      <w:r>
        <w:rPr>
          <w:rFonts w:hint="eastAsia" w:ascii="楷体_GB2312" w:hAnsi="宋体" w:eastAsia="楷体_GB2312"/>
          <w:b/>
          <w:bCs w:val="0"/>
          <w:sz w:val="32"/>
          <w:szCs w:val="32"/>
          <w:lang w:eastAsia="zh-CN"/>
        </w:rPr>
        <w:t>与现行标准的关系</w:t>
      </w:r>
    </w:p>
    <w:p>
      <w:pPr>
        <w:pStyle w:val="2"/>
        <w:spacing w:line="560" w:lineRule="exact"/>
        <w:ind w:left="0" w:leftChars="0" w:firstLine="560" w:firstLineChars="200"/>
        <w:rPr>
          <w:rFonts w:ascii="仿宋_GB2312" w:hAnsi="宋体"/>
          <w:color w:val="000000"/>
          <w:sz w:val="28"/>
          <w:szCs w:val="28"/>
        </w:rPr>
      </w:pPr>
      <w:r>
        <w:rPr>
          <w:rFonts w:hint="eastAsia" w:ascii="仿宋_GB2312" w:hAnsi="宋体"/>
          <w:color w:val="000000"/>
          <w:sz w:val="28"/>
          <w:szCs w:val="28"/>
        </w:rPr>
        <w:t>本标准是主要是对冬枣生产全过程的质量控制和管理。目前国标中冬枣方面的标准有</w:t>
      </w:r>
      <w:r>
        <w:rPr>
          <w:rFonts w:ascii="仿宋_GB2312" w:hAnsi="Times New Roman"/>
          <w:kern w:val="0"/>
          <w:sz w:val="28"/>
          <w:szCs w:val="28"/>
          <w:lang w:val="en"/>
        </w:rPr>
        <w:t>G</w:t>
      </w:r>
      <w:r>
        <w:rPr>
          <w:rFonts w:ascii="仿宋_GB2312" w:hAnsi="宋体"/>
          <w:color w:val="000000"/>
          <w:sz w:val="28"/>
          <w:szCs w:val="28"/>
          <w:lang w:val="en"/>
        </w:rPr>
        <w:t>B/Z 26579-2011</w:t>
      </w:r>
      <w:r>
        <w:rPr>
          <w:rFonts w:hint="eastAsia" w:ascii="仿宋_GB2312" w:hAnsi="宋体"/>
          <w:color w:val="000000"/>
          <w:sz w:val="28"/>
          <w:szCs w:val="28"/>
        </w:rPr>
        <w:t>《冬枣生产技术规范》和GB/T 32714-2016《冬枣》。其中</w:t>
      </w:r>
      <w:r>
        <w:rPr>
          <w:rFonts w:ascii="仿宋_GB2312" w:hAnsi="Times New Roman"/>
          <w:kern w:val="0"/>
          <w:sz w:val="28"/>
          <w:szCs w:val="28"/>
          <w:lang w:val="en"/>
        </w:rPr>
        <w:t>G</w:t>
      </w:r>
      <w:r>
        <w:rPr>
          <w:rFonts w:ascii="仿宋_GB2312" w:hAnsi="宋体"/>
          <w:color w:val="000000"/>
          <w:sz w:val="28"/>
          <w:szCs w:val="28"/>
          <w:lang w:val="en"/>
        </w:rPr>
        <w:t>B/Z 26579-2011</w:t>
      </w:r>
      <w:r>
        <w:rPr>
          <w:rFonts w:hint="eastAsia" w:ascii="仿宋_GB2312" w:hAnsi="宋体"/>
          <w:color w:val="000000"/>
          <w:sz w:val="28"/>
          <w:szCs w:val="28"/>
        </w:rPr>
        <w:t>侧重冬枣的生产栽培管理，适用于冬枣的生产；GB/T 32714-2016侧重冬枣果实的质量评级以及贮藏包装运输的内容。本标准是侧重冬枣生产全过程的质量控制和管理，借鉴并结合了</w:t>
      </w:r>
      <w:r>
        <w:rPr>
          <w:rFonts w:ascii="仿宋_GB2312" w:hAnsi="宋体"/>
          <w:color w:val="000000"/>
          <w:sz w:val="28"/>
          <w:szCs w:val="28"/>
          <w:lang w:val="en"/>
        </w:rPr>
        <w:t>GB/Z 26579-2011</w:t>
      </w:r>
      <w:r>
        <w:rPr>
          <w:rFonts w:hint="eastAsia" w:ascii="仿宋_GB2312" w:hAnsi="宋体"/>
          <w:color w:val="000000"/>
          <w:sz w:val="28"/>
          <w:szCs w:val="28"/>
        </w:rPr>
        <w:t>《冬枣生产技术规范》中的种植栽培的关键点和GB/T 32714-2016《冬枣》中储藏运输的关键点，目前我国尚无对冬枣量管理的国家及行业标准，兄弟省份也无相关标准，本标准为首次制定。</w:t>
      </w:r>
    </w:p>
    <w:p>
      <w:pPr>
        <w:numPr>
          <w:ilvl w:val="0"/>
          <w:numId w:val="3"/>
        </w:numPr>
        <w:spacing w:line="360" w:lineRule="auto"/>
        <w:ind w:left="0" w:leftChars="0" w:firstLine="629" w:firstLineChars="196"/>
        <w:rPr>
          <w:rFonts w:hint="eastAsia" w:ascii="宋体" w:hAnsi="宋体"/>
          <w:b/>
          <w:sz w:val="32"/>
          <w:szCs w:val="32"/>
        </w:rPr>
      </w:pPr>
      <w:r>
        <w:rPr>
          <w:rFonts w:hint="eastAsia" w:ascii="宋体" w:hAnsi="宋体"/>
          <w:b/>
          <w:sz w:val="32"/>
          <w:szCs w:val="32"/>
        </w:rPr>
        <w:t>主要条款说明</w:t>
      </w:r>
    </w:p>
    <w:p>
      <w:pPr>
        <w:pStyle w:val="17"/>
        <w:numPr>
          <w:ilvl w:val="0"/>
          <w:numId w:val="0"/>
        </w:numPr>
        <w:tabs>
          <w:tab w:val="clear" w:pos="992"/>
        </w:tabs>
        <w:adjustRightInd w:val="0"/>
        <w:spacing w:before="0" w:beforeLines="0" w:after="0" w:afterLines="0" w:line="600" w:lineRule="exact"/>
        <w:ind w:firstLine="642" w:firstLineChars="200"/>
        <w:rPr>
          <w:rFonts w:hint="eastAsia" w:ascii="楷体_GB2312" w:hAnsi="宋体" w:eastAsia="楷体_GB2312" w:cs="Times New Roman"/>
          <w:b/>
          <w:bCs w:val="0"/>
          <w:kern w:val="2"/>
          <w:sz w:val="32"/>
          <w:szCs w:val="32"/>
          <w:lang w:val="en-US" w:eastAsia="zh-CN" w:bidi="ar-SA"/>
        </w:rPr>
      </w:pPr>
      <w:r>
        <w:rPr>
          <w:rFonts w:hint="eastAsia" w:ascii="楷体_GB2312" w:hAnsi="宋体" w:eastAsia="楷体_GB2312" w:cs="Times New Roman"/>
          <w:b/>
          <w:bCs w:val="0"/>
          <w:kern w:val="2"/>
          <w:sz w:val="32"/>
          <w:szCs w:val="32"/>
          <w:lang w:val="en-US" w:eastAsia="zh-CN" w:bidi="ar-SA"/>
        </w:rPr>
        <w:t>（一）主要技术指标确定依据、验证方法</w:t>
      </w:r>
    </w:p>
    <w:p>
      <w:pPr>
        <w:spacing w:line="560" w:lineRule="exact"/>
        <w:ind w:firstLine="562" w:firstLineChars="200"/>
        <w:rPr>
          <w:rFonts w:ascii="楷体_GB2312" w:eastAsia="楷体_GB2312"/>
          <w:b/>
          <w:sz w:val="28"/>
          <w:szCs w:val="28"/>
        </w:rPr>
      </w:pPr>
      <w:r>
        <w:rPr>
          <w:rFonts w:hint="eastAsia" w:ascii="宋体" w:hAnsi="宋体"/>
          <w:b/>
          <w:kern w:val="0"/>
          <w:sz w:val="28"/>
          <w:szCs w:val="28"/>
        </w:rPr>
        <w:t xml:space="preserve"> </w:t>
      </w:r>
      <w:r>
        <w:rPr>
          <w:rFonts w:hint="eastAsia" w:ascii="楷体_GB2312" w:eastAsia="楷体_GB2312"/>
          <w:b/>
          <w:sz w:val="28"/>
          <w:szCs w:val="28"/>
        </w:rPr>
        <w:t>1.生产环境要求</w:t>
      </w:r>
    </w:p>
    <w:p>
      <w:pPr>
        <w:spacing w:line="560" w:lineRule="exact"/>
        <w:ind w:firstLine="562" w:firstLineChars="200"/>
        <w:jc w:val="left"/>
        <w:rPr>
          <w:rFonts w:ascii="仿宋_GB2312" w:eastAsia="仿宋_GB2312"/>
          <w:color w:val="FF0000"/>
          <w:sz w:val="28"/>
          <w:szCs w:val="28"/>
        </w:rPr>
      </w:pPr>
      <w:r>
        <w:rPr>
          <w:rFonts w:hint="eastAsia" w:ascii="仿宋_GB2312" w:hAnsi="宋体" w:eastAsia="仿宋_GB2312"/>
          <w:b/>
          <w:sz w:val="28"/>
          <w:szCs w:val="28"/>
        </w:rPr>
        <w:t>（1）</w:t>
      </w:r>
      <w:r>
        <w:rPr>
          <w:rFonts w:hint="eastAsia" w:ascii="仿宋_GB2312" w:eastAsia="仿宋_GB2312"/>
          <w:b/>
          <w:sz w:val="28"/>
          <w:szCs w:val="28"/>
        </w:rPr>
        <w:t>确定依</w:t>
      </w:r>
      <w:r>
        <w:rPr>
          <w:rFonts w:hint="eastAsia" w:ascii="仿宋_GB2312" w:hAnsi="宋体" w:eastAsia="仿宋_GB2312"/>
          <w:b/>
          <w:sz w:val="28"/>
          <w:szCs w:val="28"/>
        </w:rPr>
        <w:t>据：</w:t>
      </w:r>
      <w:r>
        <w:rPr>
          <w:rFonts w:hint="eastAsia" w:ascii="仿宋_GB2312" w:hAnsi="宋体" w:eastAsia="仿宋_GB2312"/>
          <w:bCs/>
          <w:sz w:val="28"/>
          <w:szCs w:val="28"/>
        </w:rPr>
        <w:t>冬枣生产环境包含气候条件、土壤条件、水质条件，其中环境空气质量按照GB 3095的要求执行，土壤质量按照GB 15618要求执行，灌溉水质量按照GB 5084的要求执行</w:t>
      </w:r>
      <w:r>
        <w:rPr>
          <w:rFonts w:hint="eastAsia" w:ascii="仿宋_GB2312" w:eastAsia="仿宋_GB2312"/>
          <w:bCs/>
          <w:sz w:val="28"/>
          <w:szCs w:val="28"/>
        </w:rPr>
        <w:t>。</w:t>
      </w:r>
    </w:p>
    <w:p>
      <w:pPr>
        <w:spacing w:line="560" w:lineRule="exact"/>
        <w:ind w:firstLine="562" w:firstLineChars="200"/>
        <w:jc w:val="left"/>
        <w:rPr>
          <w:rFonts w:ascii="仿宋_GB2312" w:eastAsia="仿宋_GB2312"/>
          <w:color w:val="FF0000"/>
          <w:sz w:val="28"/>
          <w:szCs w:val="28"/>
        </w:rPr>
      </w:pPr>
      <w:r>
        <w:rPr>
          <w:rFonts w:hint="eastAsia" w:ascii="仿宋_GB2312" w:eastAsia="仿宋_GB2312"/>
          <w:b/>
          <w:sz w:val="28"/>
          <w:szCs w:val="28"/>
        </w:rPr>
        <w:t>（2）验证方法及结论：</w:t>
      </w:r>
      <w:r>
        <w:rPr>
          <w:rFonts w:hint="eastAsia" w:ascii="仿宋_GB2312" w:hAnsi="宋体" w:eastAsia="仿宋_GB2312"/>
          <w:bCs/>
          <w:sz w:val="28"/>
          <w:szCs w:val="28"/>
        </w:rPr>
        <w:t>一是通过查阅我省中南部冬枣主产区气象资料，获得冬枣生产气候条件要求；二是走访冬枣生产基地，看地形地貌及周边环境，符合地形开阔、光照充足、交通方便、远离工矿区和公路干线、无污染的特点要求；三是随机检测冬枣种植基地的环境空气、灌溉水、土壤质量状况，满足GB 3095、GB 15618、GB 5084要求；四是随机抽取了符合上述要求的3个合作社25个冬枣样品进行检测，达到了国家食品安全标准GB 2762和GB 2763中限量要求，故生产环境的质量控制依据科学合理。</w:t>
      </w:r>
    </w:p>
    <w:p>
      <w:pPr>
        <w:spacing w:line="560" w:lineRule="exact"/>
        <w:ind w:firstLine="562" w:firstLineChars="200"/>
        <w:rPr>
          <w:rFonts w:ascii="楷体_GB2312" w:eastAsia="楷体_GB2312"/>
          <w:b/>
          <w:sz w:val="28"/>
          <w:szCs w:val="28"/>
        </w:rPr>
      </w:pPr>
      <w:r>
        <w:rPr>
          <w:rFonts w:hint="eastAsia" w:ascii="楷体_GB2312" w:hAnsi="宋体" w:eastAsia="楷体_GB2312"/>
          <w:b/>
          <w:kern w:val="0"/>
          <w:sz w:val="28"/>
          <w:szCs w:val="28"/>
        </w:rPr>
        <w:t>2</w:t>
      </w:r>
      <w:r>
        <w:rPr>
          <w:rFonts w:hint="eastAsia" w:ascii="楷体_GB2312" w:eastAsia="楷体_GB2312"/>
          <w:b/>
          <w:sz w:val="28"/>
          <w:szCs w:val="28"/>
        </w:rPr>
        <w:t>.水肥和花果管理</w:t>
      </w:r>
    </w:p>
    <w:p>
      <w:pPr>
        <w:spacing w:line="56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（1）确定依据：</w:t>
      </w:r>
      <w:r>
        <w:rPr>
          <w:rFonts w:hint="eastAsia" w:ascii="仿宋_GB2312" w:hAnsi="宋体" w:eastAsia="仿宋_GB2312"/>
          <w:sz w:val="28"/>
          <w:szCs w:val="28"/>
        </w:rPr>
        <w:t>在冬枣主产区充分调研和生产经验基础上确定，肥料施用应符合NY/T 496的要求。</w:t>
      </w:r>
    </w:p>
    <w:p>
      <w:pPr>
        <w:spacing w:line="560" w:lineRule="exact"/>
        <w:ind w:firstLine="562" w:firstLineChars="200"/>
        <w:rPr>
          <w:rFonts w:ascii="仿宋_GB2312" w:eastAsia="仿宋_GB2312"/>
          <w:sz w:val="28"/>
          <w:szCs w:val="28"/>
        </w:rPr>
      </w:pPr>
      <w:r>
        <w:rPr>
          <w:rFonts w:hint="eastAsia" w:ascii="仿宋_GB2312" w:hAnsi="宋体" w:eastAsia="仿宋_GB2312"/>
          <w:b/>
          <w:sz w:val="28"/>
          <w:szCs w:val="28"/>
        </w:rPr>
        <w:t>（2）验证方法</w:t>
      </w:r>
      <w:r>
        <w:rPr>
          <w:rFonts w:hint="eastAsia" w:ascii="仿宋_GB2312" w:eastAsia="仿宋_GB2312"/>
          <w:b/>
          <w:sz w:val="28"/>
          <w:szCs w:val="28"/>
        </w:rPr>
        <w:t>及结论</w:t>
      </w:r>
      <w:r>
        <w:rPr>
          <w:rFonts w:hint="eastAsia" w:ascii="仿宋_GB2312" w:hAnsi="宋体" w:eastAsia="仿宋_GB2312"/>
          <w:b/>
          <w:sz w:val="28"/>
          <w:szCs w:val="28"/>
        </w:rPr>
        <w:t>：</w:t>
      </w:r>
      <w:r>
        <w:rPr>
          <w:rFonts w:hint="eastAsia" w:ascii="仿宋_GB2312" w:eastAsia="仿宋_GB2312"/>
          <w:sz w:val="28"/>
          <w:szCs w:val="28"/>
        </w:rPr>
        <w:t>根据冬枣的生物学和生态学特性及对环境和管理技术的要求，采用合理的水肥和花果管理等关键技术，种植出的冬枣成熟早、品质好、产值高，按照食品安全国家标准检测，产品合格。</w:t>
      </w:r>
    </w:p>
    <w:p>
      <w:pPr>
        <w:spacing w:line="560" w:lineRule="exact"/>
        <w:ind w:firstLine="562" w:firstLineChars="200"/>
        <w:rPr>
          <w:rFonts w:ascii="楷体_GB2312" w:hAnsi="宋体" w:eastAsia="楷体_GB2312"/>
          <w:b/>
          <w:kern w:val="0"/>
          <w:sz w:val="28"/>
          <w:szCs w:val="28"/>
        </w:rPr>
      </w:pPr>
      <w:r>
        <w:rPr>
          <w:rFonts w:hint="eastAsia" w:ascii="楷体_GB2312" w:hAnsi="宋体" w:eastAsia="楷体_GB2312"/>
          <w:b/>
          <w:kern w:val="0"/>
          <w:sz w:val="28"/>
          <w:szCs w:val="28"/>
        </w:rPr>
        <w:t>3</w:t>
      </w:r>
      <w:r>
        <w:rPr>
          <w:rFonts w:hint="eastAsia" w:ascii="楷体_GB2312" w:eastAsia="楷体_GB2312"/>
          <w:b/>
          <w:sz w:val="28"/>
          <w:szCs w:val="28"/>
        </w:rPr>
        <w:t>.</w:t>
      </w:r>
      <w:r>
        <w:rPr>
          <w:rFonts w:hint="eastAsia" w:ascii="楷体_GB2312" w:hAnsi="宋体" w:eastAsia="楷体_GB2312"/>
          <w:b/>
          <w:kern w:val="0"/>
          <w:sz w:val="28"/>
          <w:szCs w:val="28"/>
        </w:rPr>
        <w:t xml:space="preserve">生物防治及物理防治技术 </w:t>
      </w:r>
    </w:p>
    <w:p>
      <w:pPr>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（1）确定依据：</w:t>
      </w:r>
      <w:r>
        <w:rPr>
          <w:rFonts w:hint="eastAsia" w:ascii="仿宋_GB2312" w:hAnsi="宋体" w:eastAsia="仿宋_GB2312"/>
          <w:sz w:val="28"/>
          <w:szCs w:val="28"/>
        </w:rPr>
        <w:t>近年来的调研及生产试验研究结论。</w:t>
      </w:r>
    </w:p>
    <w:p>
      <w:pPr>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（2）验证方法：</w:t>
      </w:r>
      <w:r>
        <w:rPr>
          <w:rFonts w:hint="eastAsia" w:ascii="仿宋_GB2312" w:hAnsi="宋体" w:eastAsia="仿宋_GB2312"/>
          <w:sz w:val="28"/>
          <w:szCs w:val="28"/>
        </w:rPr>
        <w:t>根据自然界生物食物链关系及害虫生物学特性，利用近年来的研究成果，在冬枣产区利用昆虫性外激素、糖醋液、杀虫灯、诱杀，悬挂粘虫胶（板）和杀虫灯，能有效杀灭蚜虫等害虫，经不完全统计防虫效果可达50%以上。</w:t>
      </w:r>
    </w:p>
    <w:p>
      <w:pPr>
        <w:spacing w:line="560" w:lineRule="exact"/>
        <w:ind w:firstLine="562" w:firstLineChars="200"/>
        <w:rPr>
          <w:rFonts w:ascii="楷体_GB2312" w:hAnsi="宋体" w:eastAsia="楷体_GB2312"/>
          <w:b/>
          <w:kern w:val="0"/>
          <w:sz w:val="28"/>
          <w:szCs w:val="28"/>
        </w:rPr>
      </w:pPr>
      <w:r>
        <w:rPr>
          <w:rFonts w:hint="eastAsia" w:ascii="楷体_GB2312" w:eastAsia="楷体_GB2312"/>
          <w:b/>
          <w:sz w:val="28"/>
          <w:szCs w:val="28"/>
        </w:rPr>
        <w:t>4.化学防治</w:t>
      </w:r>
      <w:r>
        <w:rPr>
          <w:rFonts w:hint="eastAsia" w:ascii="楷体_GB2312" w:hAnsi="宋体" w:eastAsia="楷体_GB2312"/>
          <w:b/>
          <w:kern w:val="0"/>
          <w:sz w:val="28"/>
          <w:szCs w:val="28"/>
        </w:rPr>
        <w:t>农药种类及用药量</w:t>
      </w:r>
    </w:p>
    <w:p>
      <w:pPr>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（1）确定依据：</w:t>
      </w:r>
      <w:r>
        <w:rPr>
          <w:rFonts w:hint="eastAsia" w:ascii="仿宋_GB2312" w:hAnsi="宋体" w:eastAsia="仿宋_GB2312"/>
          <w:sz w:val="28"/>
          <w:szCs w:val="28"/>
        </w:rPr>
        <w:t>在我省冬枣主产区进行田间调研，了解冬枣各生长季主要病虫种类，查阅农药安全使用标准、</w:t>
      </w:r>
      <w:r>
        <w:rPr>
          <w:rFonts w:hint="eastAsia" w:ascii="仿宋_GB2312" w:hAnsi="宋体" w:eastAsia="仿宋_GB2312"/>
          <w:bCs/>
          <w:sz w:val="28"/>
          <w:szCs w:val="28"/>
        </w:rPr>
        <w:t>依据GB/T 8321《</w:t>
      </w:r>
      <w:r>
        <w:rPr>
          <w:rFonts w:hint="eastAsia" w:ascii="仿宋_GB2312" w:hAnsi="宋体" w:eastAsia="仿宋_GB2312"/>
          <w:sz w:val="28"/>
          <w:szCs w:val="28"/>
        </w:rPr>
        <w:t>农药合理使用准则</w:t>
      </w:r>
      <w:r>
        <w:rPr>
          <w:rFonts w:hint="eastAsia" w:ascii="仿宋_GB2312" w:hAnsi="宋体" w:eastAsia="仿宋_GB2312"/>
          <w:bCs/>
          <w:sz w:val="28"/>
          <w:szCs w:val="28"/>
        </w:rPr>
        <w:t>》</w:t>
      </w:r>
      <w:r>
        <w:rPr>
          <w:rFonts w:hint="eastAsia" w:ascii="仿宋_GB2312" w:hAnsi="宋体" w:eastAsia="仿宋_GB2312"/>
          <w:sz w:val="28"/>
          <w:szCs w:val="28"/>
        </w:rPr>
        <w:t>，并田间大量试验的基础上，确定当前使用的农药种类和用药量。</w:t>
      </w:r>
    </w:p>
    <w:p>
      <w:pPr>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（2）验证方法：</w:t>
      </w:r>
      <w:r>
        <w:rPr>
          <w:rFonts w:hint="eastAsia" w:ascii="仿宋_GB2312" w:hAnsi="宋体" w:eastAsia="仿宋_GB2312"/>
          <w:bCs/>
          <w:sz w:val="28"/>
          <w:szCs w:val="28"/>
        </w:rPr>
        <w:t>按照GB/T 8321 的要求，在农药上尽量选用低毒、低残留的农药，如</w:t>
      </w:r>
      <w:r>
        <w:rPr>
          <w:rFonts w:ascii="仿宋_GB2312" w:hAnsi="宋体" w:eastAsia="仿宋_GB2312"/>
          <w:sz w:val="28"/>
          <w:szCs w:val="28"/>
        </w:rPr>
        <w:t>吡虫啉</w:t>
      </w:r>
      <w:r>
        <w:rPr>
          <w:rFonts w:hint="eastAsia" w:ascii="仿宋_GB2312" w:hAnsi="宋体" w:eastAsia="仿宋_GB2312"/>
          <w:sz w:val="28"/>
          <w:szCs w:val="28"/>
        </w:rPr>
        <w:t>、甲维盐、高效氯氰菊酯等进行药效试验。</w:t>
      </w:r>
      <w:r>
        <w:rPr>
          <w:rFonts w:hint="eastAsia" w:ascii="仿宋_GB2312" w:hAnsi="宋体" w:eastAsia="仿宋_GB2312"/>
          <w:bCs/>
          <w:sz w:val="28"/>
          <w:szCs w:val="28"/>
        </w:rPr>
        <w:t>标准起草组在运城经济开发区全安农民种植专业合作社，</w:t>
      </w:r>
      <w:r>
        <w:rPr>
          <w:rFonts w:hint="eastAsia" w:ascii="仿宋_GB2312" w:hAnsi="宋体" w:eastAsia="仿宋_GB2312"/>
          <w:sz w:val="28"/>
          <w:szCs w:val="28"/>
        </w:rPr>
        <w:t>按照表2、表3的防控方法进行病虫害防治药效试验，</w:t>
      </w:r>
      <w:r>
        <w:rPr>
          <w:rFonts w:hint="eastAsia" w:ascii="仿宋_GB2312" w:hAnsi="宋体" w:eastAsia="仿宋_GB2312"/>
          <w:bCs/>
          <w:sz w:val="28"/>
          <w:szCs w:val="28"/>
        </w:rPr>
        <w:t>在</w:t>
      </w:r>
      <w:r>
        <w:rPr>
          <w:rFonts w:hint="eastAsia" w:ascii="仿宋_GB2312" w:hAnsi="宋体" w:eastAsia="仿宋_GB2312"/>
          <w:sz w:val="28"/>
          <w:szCs w:val="28"/>
        </w:rPr>
        <w:t>冬枣各生育期记录防治效果</w:t>
      </w:r>
      <w:r>
        <w:rPr>
          <w:rFonts w:hint="eastAsia" w:ascii="仿宋_GB2312" w:hAnsi="宋体" w:eastAsia="仿宋_GB2312"/>
          <w:bCs/>
          <w:sz w:val="28"/>
          <w:szCs w:val="28"/>
        </w:rPr>
        <w:t>，相关技术指标达到了预期防治效果，采收期</w:t>
      </w:r>
      <w:r>
        <w:rPr>
          <w:rFonts w:hint="eastAsia" w:ascii="仿宋_GB2312" w:hAnsi="宋体" w:eastAsia="仿宋_GB2312"/>
          <w:sz w:val="28"/>
          <w:szCs w:val="28"/>
        </w:rPr>
        <w:t>对冬枣果实进行产品检测，产品质量符合GB2762、GB2763的要求。</w:t>
      </w:r>
    </w:p>
    <w:p>
      <w:pPr>
        <w:pStyle w:val="2"/>
        <w:ind w:left="0" w:leftChars="0"/>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表2  冬季主要病害防控方法</w:t>
      </w:r>
    </w:p>
    <w:tbl>
      <w:tblPr>
        <w:tblStyle w:val="8"/>
        <w:tblW w:w="498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99"/>
        <w:gridCol w:w="1883"/>
        <w:gridCol w:w="2153"/>
        <w:gridCol w:w="30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773" w:type="pct"/>
            <w:tcBorders>
              <w:top w:val="single" w:color="auto" w:sz="8" w:space="0"/>
              <w:bottom w:val="single" w:color="auto" w:sz="8" w:space="0"/>
            </w:tcBorders>
            <w:vAlign w:val="center"/>
          </w:tcPr>
          <w:p>
            <w:pPr>
              <w:spacing w:line="240" w:lineRule="exact"/>
              <w:jc w:val="center"/>
              <w:rPr>
                <w:rFonts w:ascii="宋体" w:hAnsi="宋体"/>
                <w:szCs w:val="21"/>
              </w:rPr>
            </w:pPr>
            <w:r>
              <w:rPr>
                <w:rFonts w:hint="eastAsia" w:ascii="宋体" w:hAnsi="宋体"/>
                <w:szCs w:val="21"/>
              </w:rPr>
              <w:t>冬枣生育期</w:t>
            </w:r>
          </w:p>
        </w:tc>
        <w:tc>
          <w:tcPr>
            <w:tcW w:w="1120" w:type="pct"/>
            <w:tcBorders>
              <w:top w:val="single" w:color="auto" w:sz="8" w:space="0"/>
              <w:bottom w:val="single" w:color="auto" w:sz="8" w:space="0"/>
            </w:tcBorders>
            <w:vAlign w:val="center"/>
          </w:tcPr>
          <w:p>
            <w:pPr>
              <w:spacing w:line="240" w:lineRule="exact"/>
              <w:jc w:val="center"/>
              <w:rPr>
                <w:rFonts w:ascii="宋体" w:hAnsi="宋体"/>
                <w:szCs w:val="21"/>
              </w:rPr>
            </w:pPr>
            <w:r>
              <w:rPr>
                <w:rFonts w:hint="eastAsia" w:ascii="宋体" w:hAnsi="宋体"/>
                <w:szCs w:val="21"/>
              </w:rPr>
              <w:t>主要病害</w:t>
            </w:r>
          </w:p>
        </w:tc>
        <w:tc>
          <w:tcPr>
            <w:tcW w:w="1281" w:type="pct"/>
            <w:tcBorders>
              <w:top w:val="single" w:color="auto" w:sz="8" w:space="0"/>
              <w:bottom w:val="single" w:color="auto" w:sz="8" w:space="0"/>
            </w:tcBorders>
            <w:tcMar>
              <w:left w:w="113" w:type="dxa"/>
              <w:right w:w="113" w:type="dxa"/>
            </w:tcMar>
            <w:vAlign w:val="center"/>
          </w:tcPr>
          <w:p>
            <w:pPr>
              <w:spacing w:line="240" w:lineRule="exact"/>
              <w:jc w:val="center"/>
              <w:rPr>
                <w:rFonts w:ascii="宋体" w:hAnsi="宋体"/>
                <w:szCs w:val="21"/>
              </w:rPr>
            </w:pPr>
            <w:r>
              <w:rPr>
                <w:rFonts w:hint="eastAsia" w:ascii="宋体" w:hAnsi="宋体"/>
                <w:szCs w:val="21"/>
              </w:rPr>
              <w:t>使用农药</w:t>
            </w:r>
          </w:p>
        </w:tc>
        <w:tc>
          <w:tcPr>
            <w:tcW w:w="1824" w:type="pct"/>
            <w:tcBorders>
              <w:top w:val="single" w:color="auto" w:sz="8" w:space="0"/>
              <w:bottom w:val="single" w:color="auto" w:sz="8" w:space="0"/>
            </w:tcBorders>
            <w:tcMar>
              <w:left w:w="113" w:type="dxa"/>
              <w:right w:w="113" w:type="dxa"/>
            </w:tcMar>
            <w:vAlign w:val="center"/>
          </w:tcPr>
          <w:p>
            <w:pPr>
              <w:spacing w:line="240" w:lineRule="exact"/>
              <w:jc w:val="center"/>
              <w:rPr>
                <w:rFonts w:ascii="宋体" w:hAnsi="宋体"/>
                <w:szCs w:val="21"/>
              </w:rPr>
            </w:pPr>
            <w:r>
              <w:rPr>
                <w:rFonts w:hint="eastAsia" w:ascii="宋体" w:hAnsi="宋体"/>
                <w:szCs w:val="21"/>
              </w:rPr>
              <w:t>方 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85" w:hRule="atLeast"/>
        </w:trPr>
        <w:tc>
          <w:tcPr>
            <w:tcW w:w="773" w:type="pct"/>
            <w:tcBorders>
              <w:top w:val="single" w:color="auto" w:sz="8" w:space="0"/>
            </w:tcBorders>
            <w:vAlign w:val="center"/>
          </w:tcPr>
          <w:p>
            <w:pPr>
              <w:spacing w:line="240" w:lineRule="exact"/>
              <w:jc w:val="center"/>
              <w:rPr>
                <w:rFonts w:ascii="宋体" w:hAnsi="宋体"/>
                <w:szCs w:val="21"/>
              </w:rPr>
            </w:pPr>
            <w:r>
              <w:rPr>
                <w:rFonts w:hint="eastAsia" w:ascii="宋体" w:hAnsi="宋体"/>
                <w:szCs w:val="21"/>
              </w:rPr>
              <w:t>发芽前期</w:t>
            </w:r>
          </w:p>
        </w:tc>
        <w:tc>
          <w:tcPr>
            <w:tcW w:w="1120" w:type="pct"/>
            <w:tcBorders>
              <w:top w:val="single" w:color="auto" w:sz="8" w:space="0"/>
            </w:tcBorders>
            <w:vAlign w:val="center"/>
          </w:tcPr>
          <w:p>
            <w:pPr>
              <w:spacing w:line="240" w:lineRule="exact"/>
              <w:jc w:val="center"/>
              <w:rPr>
                <w:rFonts w:ascii="宋体" w:hAnsi="宋体"/>
                <w:szCs w:val="21"/>
              </w:rPr>
            </w:pPr>
            <w:r>
              <w:rPr>
                <w:rFonts w:hint="eastAsia" w:ascii="宋体" w:hAnsi="宋体"/>
                <w:szCs w:val="21"/>
              </w:rPr>
              <w:t>枣锈病、褐斑病、干腐病</w:t>
            </w:r>
          </w:p>
        </w:tc>
        <w:tc>
          <w:tcPr>
            <w:tcW w:w="1281" w:type="pct"/>
            <w:tcBorders>
              <w:top w:val="single" w:color="auto" w:sz="8" w:space="0"/>
            </w:tcBorders>
            <w:tcMar>
              <w:left w:w="113" w:type="dxa"/>
              <w:right w:w="113" w:type="dxa"/>
            </w:tcMar>
            <w:vAlign w:val="center"/>
          </w:tcPr>
          <w:p>
            <w:pPr>
              <w:pStyle w:val="18"/>
              <w:spacing w:line="240" w:lineRule="exact"/>
              <w:ind w:firstLine="0" w:firstLineChars="0"/>
              <w:rPr>
                <w:rFonts w:hAnsi="宋体"/>
                <w:szCs w:val="21"/>
              </w:rPr>
            </w:pPr>
            <w:r>
              <w:rPr>
                <w:rFonts w:hint="eastAsia"/>
                <w:szCs w:val="21"/>
              </w:rPr>
              <w:t>四螨嗪、苯醚甲环唑</w:t>
            </w:r>
          </w:p>
        </w:tc>
        <w:tc>
          <w:tcPr>
            <w:tcW w:w="1824" w:type="pct"/>
            <w:tcBorders>
              <w:top w:val="single" w:color="auto" w:sz="8" w:space="0"/>
            </w:tcBorders>
            <w:tcMar>
              <w:left w:w="113" w:type="dxa"/>
              <w:right w:w="113" w:type="dxa"/>
            </w:tcMar>
            <w:vAlign w:val="center"/>
          </w:tcPr>
          <w:p>
            <w:pPr>
              <w:pStyle w:val="18"/>
              <w:spacing w:line="240" w:lineRule="exact"/>
              <w:rPr>
                <w:szCs w:val="21"/>
              </w:rPr>
            </w:pPr>
            <w:r>
              <w:rPr>
                <w:rFonts w:hint="eastAsia"/>
                <w:szCs w:val="21"/>
              </w:rPr>
              <w:t>参照农药标签使用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75" w:hRule="atLeast"/>
        </w:trPr>
        <w:tc>
          <w:tcPr>
            <w:tcW w:w="773" w:type="pct"/>
            <w:tcBorders>
              <w:bottom w:val="single" w:color="auto" w:sz="4" w:space="0"/>
            </w:tcBorders>
            <w:vAlign w:val="center"/>
          </w:tcPr>
          <w:p>
            <w:pPr>
              <w:spacing w:line="240" w:lineRule="exact"/>
              <w:jc w:val="center"/>
              <w:rPr>
                <w:rFonts w:ascii="宋体" w:hAnsi="宋体"/>
                <w:szCs w:val="21"/>
              </w:rPr>
            </w:pPr>
            <w:r>
              <w:rPr>
                <w:rFonts w:hint="eastAsia"/>
                <w:szCs w:val="21"/>
              </w:rPr>
              <w:t>发芽至展叶期</w:t>
            </w:r>
          </w:p>
        </w:tc>
        <w:tc>
          <w:tcPr>
            <w:tcW w:w="1120" w:type="pct"/>
            <w:tcBorders>
              <w:bottom w:val="single" w:color="auto" w:sz="4" w:space="0"/>
            </w:tcBorders>
            <w:vAlign w:val="center"/>
          </w:tcPr>
          <w:p>
            <w:pPr>
              <w:spacing w:line="240" w:lineRule="exact"/>
              <w:jc w:val="center"/>
              <w:rPr>
                <w:rFonts w:ascii="宋体" w:hAnsi="宋体"/>
                <w:szCs w:val="21"/>
              </w:rPr>
            </w:pPr>
            <w:r>
              <w:rPr>
                <w:rFonts w:hint="eastAsia"/>
                <w:szCs w:val="21"/>
              </w:rPr>
              <w:t>炭疽病、褐斑病</w:t>
            </w:r>
          </w:p>
        </w:tc>
        <w:tc>
          <w:tcPr>
            <w:tcW w:w="1281" w:type="pct"/>
            <w:tcBorders>
              <w:bottom w:val="single" w:color="auto" w:sz="4" w:space="0"/>
            </w:tcBorders>
            <w:tcMar>
              <w:left w:w="113" w:type="dxa"/>
              <w:right w:w="113" w:type="dxa"/>
            </w:tcMar>
            <w:vAlign w:val="center"/>
          </w:tcPr>
          <w:p>
            <w:pPr>
              <w:pStyle w:val="18"/>
              <w:autoSpaceDN/>
              <w:spacing w:line="240" w:lineRule="exact"/>
              <w:ind w:firstLine="0" w:firstLineChars="0"/>
              <w:rPr>
                <w:rFonts w:hAnsi="宋体"/>
                <w:szCs w:val="21"/>
              </w:rPr>
            </w:pPr>
            <w:r>
              <w:rPr>
                <w:rFonts w:hint="eastAsia"/>
                <w:szCs w:val="21"/>
              </w:rPr>
              <w:t>苯甲</w:t>
            </w:r>
            <w:r>
              <w:rPr>
                <w:rFonts w:hint="eastAsia" w:ascii="汉仪大黑简" w:hAnsi="汉仪大黑简" w:eastAsia="汉仪大黑简" w:cs="汉仪大黑简"/>
                <w:szCs w:val="21"/>
              </w:rPr>
              <w:t>·</w:t>
            </w:r>
            <w:r>
              <w:rPr>
                <w:rFonts w:hint="eastAsia"/>
                <w:szCs w:val="21"/>
              </w:rPr>
              <w:t>丙环唑、戊唑醇</w:t>
            </w:r>
          </w:p>
        </w:tc>
        <w:tc>
          <w:tcPr>
            <w:tcW w:w="1824" w:type="pct"/>
            <w:tcBorders>
              <w:bottom w:val="single" w:color="auto" w:sz="4" w:space="0"/>
            </w:tcBorders>
            <w:tcMar>
              <w:left w:w="113" w:type="dxa"/>
              <w:right w:w="113" w:type="dxa"/>
            </w:tcMar>
            <w:vAlign w:val="center"/>
          </w:tcPr>
          <w:p>
            <w:pPr>
              <w:pStyle w:val="18"/>
              <w:autoSpaceDN/>
              <w:spacing w:line="240" w:lineRule="exact"/>
              <w:rPr>
                <w:szCs w:val="21"/>
              </w:rPr>
            </w:pPr>
            <w:r>
              <w:rPr>
                <w:rFonts w:hint="eastAsia"/>
                <w:szCs w:val="21"/>
              </w:rPr>
              <w:t>参照农药标签使用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45" w:hRule="atLeast"/>
        </w:trPr>
        <w:tc>
          <w:tcPr>
            <w:tcW w:w="773" w:type="pct"/>
            <w:tcBorders>
              <w:top w:val="single" w:color="auto" w:sz="8" w:space="0"/>
            </w:tcBorders>
            <w:vAlign w:val="center"/>
          </w:tcPr>
          <w:p>
            <w:pPr>
              <w:pStyle w:val="19"/>
              <w:numPr>
                <w:ilvl w:val="2"/>
                <w:numId w:val="0"/>
              </w:numPr>
              <w:spacing w:before="0" w:beforeLines="0" w:after="0" w:afterLines="0" w:line="240" w:lineRule="exact"/>
              <w:jc w:val="center"/>
              <w:rPr>
                <w:rFonts w:ascii="Times New Roman" w:eastAsia="宋体"/>
                <w:kern w:val="2"/>
              </w:rPr>
            </w:pPr>
            <w:r>
              <w:rPr>
                <w:rFonts w:hint="eastAsia" w:ascii="Times New Roman" w:eastAsia="宋体"/>
                <w:kern w:val="2"/>
              </w:rPr>
              <w:t>花后幼果期</w:t>
            </w:r>
          </w:p>
          <w:p>
            <w:pPr>
              <w:spacing w:line="240" w:lineRule="exact"/>
              <w:jc w:val="center"/>
              <w:rPr>
                <w:rFonts w:ascii="宋体" w:hAnsi="宋体"/>
                <w:szCs w:val="21"/>
              </w:rPr>
            </w:pPr>
          </w:p>
        </w:tc>
        <w:tc>
          <w:tcPr>
            <w:tcW w:w="1120" w:type="pct"/>
            <w:tcBorders>
              <w:top w:val="single" w:color="auto" w:sz="8" w:space="0"/>
            </w:tcBorders>
            <w:vAlign w:val="center"/>
          </w:tcPr>
          <w:p>
            <w:pPr>
              <w:spacing w:line="240" w:lineRule="exact"/>
              <w:jc w:val="center"/>
              <w:rPr>
                <w:rFonts w:ascii="宋体" w:hAnsi="宋体"/>
                <w:szCs w:val="21"/>
              </w:rPr>
            </w:pPr>
            <w:r>
              <w:rPr>
                <w:rFonts w:hint="eastAsia"/>
                <w:szCs w:val="21"/>
              </w:rPr>
              <w:t>缩果病、炭疽病、褐斑病、锈病</w:t>
            </w:r>
          </w:p>
        </w:tc>
        <w:tc>
          <w:tcPr>
            <w:tcW w:w="1281" w:type="pct"/>
            <w:tcBorders>
              <w:top w:val="single" w:color="auto" w:sz="8" w:space="0"/>
            </w:tcBorders>
            <w:tcMar>
              <w:left w:w="113" w:type="dxa"/>
              <w:right w:w="113" w:type="dxa"/>
            </w:tcMar>
            <w:vAlign w:val="center"/>
          </w:tcPr>
          <w:p>
            <w:pPr>
              <w:pStyle w:val="18"/>
              <w:spacing w:line="240" w:lineRule="exact"/>
              <w:ind w:firstLine="0" w:firstLineChars="0"/>
              <w:rPr>
                <w:rFonts w:hAnsi="宋体"/>
                <w:szCs w:val="21"/>
              </w:rPr>
            </w:pPr>
            <w:r>
              <w:rPr>
                <w:rFonts w:hint="eastAsia"/>
                <w:szCs w:val="21"/>
              </w:rPr>
              <w:t>农用链霉素、苯醚甲环唑、苯甲·丙环唑</w:t>
            </w:r>
          </w:p>
        </w:tc>
        <w:tc>
          <w:tcPr>
            <w:tcW w:w="1824" w:type="pct"/>
            <w:tcBorders>
              <w:top w:val="single" w:color="auto" w:sz="8" w:space="0"/>
            </w:tcBorders>
            <w:tcMar>
              <w:left w:w="113" w:type="dxa"/>
              <w:right w:w="113" w:type="dxa"/>
            </w:tcMar>
            <w:vAlign w:val="center"/>
          </w:tcPr>
          <w:p>
            <w:pPr>
              <w:pStyle w:val="18"/>
              <w:spacing w:line="240" w:lineRule="exact"/>
              <w:rPr>
                <w:szCs w:val="21"/>
              </w:rPr>
            </w:pPr>
            <w:r>
              <w:rPr>
                <w:rFonts w:hint="eastAsia"/>
                <w:szCs w:val="21"/>
              </w:rPr>
              <w:t>农用链霉素可湿性粉剂3 000倍液+20%苯醚甲环唑1 500</w:t>
            </w:r>
            <w:r>
              <w:rPr>
                <w:rFonts w:hAnsi="宋体" w:cs="宋体"/>
                <w:color w:val="000000"/>
                <w:szCs w:val="21"/>
              </w:rPr>
              <w:t>～</w:t>
            </w:r>
            <w:r>
              <w:rPr>
                <w:rFonts w:hint="eastAsia"/>
                <w:szCs w:val="21"/>
              </w:rPr>
              <w:t>2 000倍液，或30%苯甲·丙环唑悬浮剂4 000倍液喷雾。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85" w:hRule="atLeast"/>
        </w:trPr>
        <w:tc>
          <w:tcPr>
            <w:tcW w:w="773" w:type="pct"/>
            <w:vAlign w:val="center"/>
          </w:tcPr>
          <w:p>
            <w:pPr>
              <w:pStyle w:val="19"/>
              <w:numPr>
                <w:ilvl w:val="2"/>
                <w:numId w:val="0"/>
              </w:numPr>
              <w:spacing w:before="0" w:beforeLines="0" w:after="0" w:afterLines="0" w:line="240" w:lineRule="exact"/>
              <w:jc w:val="center"/>
              <w:rPr>
                <w:rFonts w:ascii="宋体" w:hAnsi="宋体" w:eastAsia="宋体" w:cs="宋体"/>
              </w:rPr>
            </w:pPr>
            <w:r>
              <w:rPr>
                <w:rFonts w:hint="eastAsia" w:ascii="宋体" w:hAnsi="宋体" w:eastAsia="宋体" w:cs="宋体"/>
              </w:rPr>
              <w:t>果实膨大期</w:t>
            </w:r>
          </w:p>
          <w:p>
            <w:pPr>
              <w:spacing w:line="240" w:lineRule="exact"/>
              <w:jc w:val="center"/>
              <w:rPr>
                <w:rFonts w:ascii="宋体" w:hAnsi="宋体" w:cs="宋体"/>
                <w:szCs w:val="21"/>
              </w:rPr>
            </w:pPr>
          </w:p>
        </w:tc>
        <w:tc>
          <w:tcPr>
            <w:tcW w:w="1120" w:type="pct"/>
            <w:vAlign w:val="center"/>
          </w:tcPr>
          <w:p>
            <w:pPr>
              <w:spacing w:line="240" w:lineRule="exact"/>
              <w:jc w:val="center"/>
              <w:rPr>
                <w:rFonts w:ascii="宋体" w:hAnsi="宋体"/>
                <w:szCs w:val="21"/>
              </w:rPr>
            </w:pPr>
            <w:r>
              <w:rPr>
                <w:rFonts w:hint="eastAsia"/>
                <w:szCs w:val="21"/>
              </w:rPr>
              <w:t>枣锈病、缩果病、轮纹病、炭疽病</w:t>
            </w:r>
          </w:p>
        </w:tc>
        <w:tc>
          <w:tcPr>
            <w:tcW w:w="1281" w:type="pct"/>
            <w:tcMar>
              <w:left w:w="113" w:type="dxa"/>
              <w:right w:w="113" w:type="dxa"/>
            </w:tcMar>
            <w:vAlign w:val="center"/>
          </w:tcPr>
          <w:p>
            <w:pPr>
              <w:pStyle w:val="18"/>
              <w:spacing w:line="240" w:lineRule="exact"/>
              <w:ind w:firstLine="0" w:firstLineChars="0"/>
              <w:jc w:val="left"/>
              <w:rPr>
                <w:rFonts w:hAnsi="宋体"/>
                <w:szCs w:val="21"/>
              </w:rPr>
            </w:pPr>
            <w:r>
              <w:rPr>
                <w:rFonts w:hint="eastAsia"/>
                <w:szCs w:val="21"/>
              </w:rPr>
              <w:t>农用链霉素、戊唑醇、苯甲·丙环唑</w:t>
            </w:r>
          </w:p>
        </w:tc>
        <w:tc>
          <w:tcPr>
            <w:tcW w:w="1824" w:type="pct"/>
            <w:tcMar>
              <w:left w:w="113" w:type="dxa"/>
              <w:right w:w="113" w:type="dxa"/>
            </w:tcMar>
            <w:vAlign w:val="center"/>
          </w:tcPr>
          <w:p>
            <w:pPr>
              <w:pStyle w:val="18"/>
              <w:spacing w:line="240" w:lineRule="exact"/>
              <w:jc w:val="left"/>
              <w:rPr>
                <w:szCs w:val="21"/>
              </w:rPr>
            </w:pPr>
            <w:r>
              <w:rPr>
                <w:rFonts w:hint="eastAsia"/>
                <w:szCs w:val="21"/>
              </w:rPr>
              <w:t>用72 %农用链霉素可湿性粉剂3 000倍液+30 %戊唑醇可湿性粉剂3 000倍液，或用30 %苯甲·丙环唑悬浮剂4 000倍液喷雾防治。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75" w:hRule="atLeast"/>
        </w:trPr>
        <w:tc>
          <w:tcPr>
            <w:tcW w:w="773" w:type="pct"/>
            <w:tcBorders>
              <w:bottom w:val="single" w:color="auto" w:sz="8" w:space="0"/>
            </w:tcBorders>
            <w:vAlign w:val="center"/>
          </w:tcPr>
          <w:p>
            <w:pPr>
              <w:pStyle w:val="19"/>
              <w:numPr>
                <w:ilvl w:val="2"/>
                <w:numId w:val="0"/>
              </w:numPr>
              <w:spacing w:before="0" w:beforeLines="0" w:after="0" w:afterLines="0" w:line="240" w:lineRule="exact"/>
              <w:jc w:val="center"/>
              <w:rPr>
                <w:rFonts w:ascii="宋体" w:hAnsi="宋体" w:eastAsia="宋体" w:cs="宋体"/>
              </w:rPr>
            </w:pPr>
            <w:r>
              <w:rPr>
                <w:rFonts w:hint="eastAsia" w:ascii="宋体" w:hAnsi="宋体" w:eastAsia="宋体" w:cs="宋体"/>
              </w:rPr>
              <w:t>成熟着色期</w:t>
            </w:r>
          </w:p>
        </w:tc>
        <w:tc>
          <w:tcPr>
            <w:tcW w:w="1120" w:type="pct"/>
            <w:tcBorders>
              <w:bottom w:val="single" w:color="auto" w:sz="8" w:space="0"/>
            </w:tcBorders>
            <w:vAlign w:val="center"/>
          </w:tcPr>
          <w:p>
            <w:pPr>
              <w:spacing w:line="240" w:lineRule="exact"/>
              <w:jc w:val="center"/>
              <w:rPr>
                <w:rFonts w:ascii="宋体" w:hAnsi="宋体"/>
                <w:szCs w:val="21"/>
              </w:rPr>
            </w:pPr>
            <w:r>
              <w:rPr>
                <w:rFonts w:hint="eastAsia"/>
                <w:szCs w:val="21"/>
              </w:rPr>
              <w:t>缩果病、锈病、轮纹病、炭疽病</w:t>
            </w:r>
          </w:p>
        </w:tc>
        <w:tc>
          <w:tcPr>
            <w:tcW w:w="1281" w:type="pct"/>
            <w:tcBorders>
              <w:bottom w:val="single" w:color="auto" w:sz="8" w:space="0"/>
            </w:tcBorders>
            <w:tcMar>
              <w:left w:w="113" w:type="dxa"/>
              <w:right w:w="113" w:type="dxa"/>
            </w:tcMar>
            <w:vAlign w:val="center"/>
          </w:tcPr>
          <w:p>
            <w:pPr>
              <w:pStyle w:val="18"/>
              <w:autoSpaceDN/>
              <w:spacing w:line="240" w:lineRule="exact"/>
              <w:ind w:firstLine="0" w:firstLineChars="0"/>
              <w:rPr>
                <w:rFonts w:hAnsi="宋体"/>
                <w:szCs w:val="21"/>
              </w:rPr>
            </w:pPr>
            <w:r>
              <w:rPr>
                <w:rFonts w:hint="eastAsia"/>
                <w:szCs w:val="21"/>
              </w:rPr>
              <w:t>农用链霉素、甲基硫菌灵、咪鲜胺</w:t>
            </w:r>
          </w:p>
        </w:tc>
        <w:tc>
          <w:tcPr>
            <w:tcW w:w="1824" w:type="pct"/>
            <w:tcBorders>
              <w:bottom w:val="single" w:color="auto" w:sz="8" w:space="0"/>
            </w:tcBorders>
            <w:tcMar>
              <w:left w:w="113" w:type="dxa"/>
              <w:right w:w="113" w:type="dxa"/>
            </w:tcMar>
            <w:vAlign w:val="center"/>
          </w:tcPr>
          <w:p>
            <w:pPr>
              <w:pStyle w:val="18"/>
              <w:autoSpaceDN/>
              <w:spacing w:line="240" w:lineRule="exact"/>
              <w:rPr>
                <w:szCs w:val="21"/>
              </w:rPr>
            </w:pPr>
            <w:r>
              <w:rPr>
                <w:rFonts w:hint="eastAsia"/>
                <w:szCs w:val="21"/>
              </w:rPr>
              <w:t>喷施72 %农用链霉素可湿性粉剂3 000倍液+70 %甲基硫菌灵1 500～2 000倍液，或25 %咪鲜胺水乳剂1 000～1 500倍液。最后一次用药至采收至少间隔10 d以上。</w:t>
            </w:r>
          </w:p>
        </w:tc>
      </w:tr>
    </w:tbl>
    <w:p>
      <w:pPr>
        <w:pStyle w:val="20"/>
        <w:numPr>
          <w:ilvl w:val="0"/>
          <w:numId w:val="0"/>
        </w:numPr>
        <w:spacing w:before="156" w:after="156"/>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表3  冬枣主要虫害防控方法</w:t>
      </w:r>
    </w:p>
    <w:tbl>
      <w:tblPr>
        <w:tblStyle w:val="8"/>
        <w:tblW w:w="488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23"/>
        <w:gridCol w:w="2375"/>
        <w:gridCol w:w="1871"/>
        <w:gridCol w:w="24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924" w:type="pct"/>
            <w:tcBorders>
              <w:top w:val="single" w:color="auto" w:sz="8" w:space="0"/>
              <w:bottom w:val="single" w:color="auto" w:sz="8" w:space="0"/>
            </w:tcBorders>
            <w:vAlign w:val="center"/>
          </w:tcPr>
          <w:p>
            <w:pPr>
              <w:spacing w:line="240" w:lineRule="exact"/>
              <w:jc w:val="center"/>
              <w:rPr>
                <w:rFonts w:ascii="宋体" w:hAnsi="宋体"/>
                <w:szCs w:val="21"/>
              </w:rPr>
            </w:pPr>
            <w:r>
              <w:rPr>
                <w:rFonts w:hint="eastAsia" w:ascii="宋体" w:hAnsi="宋体"/>
                <w:szCs w:val="21"/>
              </w:rPr>
              <w:t>冬枣生育期</w:t>
            </w:r>
          </w:p>
        </w:tc>
        <w:tc>
          <w:tcPr>
            <w:tcW w:w="1441" w:type="pct"/>
            <w:tcBorders>
              <w:top w:val="single" w:color="auto" w:sz="8" w:space="0"/>
              <w:bottom w:val="single" w:color="auto" w:sz="8" w:space="0"/>
            </w:tcBorders>
            <w:vAlign w:val="center"/>
          </w:tcPr>
          <w:p>
            <w:pPr>
              <w:spacing w:line="240" w:lineRule="exact"/>
              <w:jc w:val="center"/>
              <w:rPr>
                <w:rFonts w:ascii="宋体" w:hAnsi="宋体"/>
                <w:szCs w:val="21"/>
              </w:rPr>
            </w:pPr>
            <w:r>
              <w:rPr>
                <w:rFonts w:hint="eastAsia" w:ascii="宋体" w:hAnsi="宋体"/>
                <w:szCs w:val="21"/>
              </w:rPr>
              <w:t>主要虫害</w:t>
            </w:r>
          </w:p>
        </w:tc>
        <w:tc>
          <w:tcPr>
            <w:tcW w:w="1135" w:type="pct"/>
            <w:tcBorders>
              <w:top w:val="single" w:color="auto" w:sz="8" w:space="0"/>
              <w:bottom w:val="single" w:color="auto" w:sz="8" w:space="0"/>
            </w:tcBorders>
            <w:vAlign w:val="center"/>
          </w:tcPr>
          <w:p>
            <w:pPr>
              <w:spacing w:line="240" w:lineRule="exact"/>
              <w:jc w:val="center"/>
              <w:rPr>
                <w:rFonts w:ascii="宋体" w:hAnsi="宋体"/>
                <w:szCs w:val="21"/>
              </w:rPr>
            </w:pPr>
            <w:r>
              <w:rPr>
                <w:rFonts w:hint="eastAsia" w:ascii="宋体" w:hAnsi="宋体"/>
                <w:szCs w:val="21"/>
              </w:rPr>
              <w:t>使用农药</w:t>
            </w:r>
          </w:p>
        </w:tc>
        <w:tc>
          <w:tcPr>
            <w:tcW w:w="1499" w:type="pct"/>
            <w:tcBorders>
              <w:top w:val="single" w:color="auto" w:sz="8" w:space="0"/>
              <w:bottom w:val="single" w:color="auto" w:sz="8" w:space="0"/>
            </w:tcBorders>
            <w:tcMar>
              <w:left w:w="113" w:type="dxa"/>
              <w:right w:w="113" w:type="dxa"/>
            </w:tcMar>
            <w:vAlign w:val="center"/>
          </w:tcPr>
          <w:p>
            <w:pPr>
              <w:spacing w:line="240" w:lineRule="exact"/>
              <w:jc w:val="center"/>
              <w:rPr>
                <w:rFonts w:ascii="宋体" w:hAnsi="宋体"/>
                <w:szCs w:val="21"/>
              </w:rPr>
            </w:pPr>
            <w:r>
              <w:rPr>
                <w:rFonts w:hint="eastAsia" w:ascii="宋体" w:hAnsi="宋体"/>
                <w:szCs w:val="21"/>
              </w:rPr>
              <w:t>防控方法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924" w:type="pct"/>
            <w:tcBorders>
              <w:top w:val="single" w:color="auto" w:sz="8" w:space="0"/>
            </w:tcBorders>
            <w:vAlign w:val="center"/>
          </w:tcPr>
          <w:p>
            <w:pPr>
              <w:spacing w:line="240" w:lineRule="exact"/>
              <w:jc w:val="center"/>
              <w:rPr>
                <w:rFonts w:ascii="宋体" w:hAnsi="宋体"/>
                <w:szCs w:val="21"/>
              </w:rPr>
            </w:pPr>
            <w:r>
              <w:rPr>
                <w:rFonts w:hint="eastAsia" w:ascii="宋体" w:hAnsi="宋体"/>
                <w:szCs w:val="21"/>
              </w:rPr>
              <w:t>发芽前期</w:t>
            </w:r>
          </w:p>
        </w:tc>
        <w:tc>
          <w:tcPr>
            <w:tcW w:w="1441" w:type="pct"/>
            <w:tcBorders>
              <w:top w:val="single" w:color="auto" w:sz="8" w:space="0"/>
            </w:tcBorders>
            <w:vAlign w:val="center"/>
          </w:tcPr>
          <w:p>
            <w:pPr>
              <w:spacing w:line="240" w:lineRule="exact"/>
              <w:jc w:val="center"/>
              <w:rPr>
                <w:rFonts w:ascii="宋体" w:hAnsi="宋体"/>
                <w:szCs w:val="21"/>
              </w:rPr>
            </w:pPr>
            <w:r>
              <w:rPr>
                <w:rFonts w:hint="eastAsia" w:ascii="宋体" w:hAnsi="宋体"/>
                <w:szCs w:val="21"/>
              </w:rPr>
              <w:t>绿盲蝽象、食芽象甲</w:t>
            </w:r>
          </w:p>
        </w:tc>
        <w:tc>
          <w:tcPr>
            <w:tcW w:w="1135" w:type="pct"/>
            <w:tcBorders>
              <w:top w:val="single" w:color="auto" w:sz="8" w:space="0"/>
            </w:tcBorders>
            <w:vAlign w:val="center"/>
          </w:tcPr>
          <w:p>
            <w:pPr>
              <w:spacing w:line="240" w:lineRule="exact"/>
              <w:jc w:val="center"/>
              <w:rPr>
                <w:rFonts w:ascii="宋体" w:hAnsi="宋体"/>
                <w:szCs w:val="21"/>
              </w:rPr>
            </w:pPr>
            <w:r>
              <w:rPr>
                <w:rFonts w:hint="eastAsia"/>
                <w:szCs w:val="21"/>
              </w:rPr>
              <w:t>联苯菊酯、四螨嗪</w:t>
            </w:r>
          </w:p>
        </w:tc>
        <w:tc>
          <w:tcPr>
            <w:tcW w:w="1499" w:type="pct"/>
            <w:tcBorders>
              <w:top w:val="single" w:color="auto" w:sz="8" w:space="0"/>
            </w:tcBorders>
            <w:tcMar>
              <w:left w:w="113" w:type="dxa"/>
              <w:right w:w="113" w:type="dxa"/>
            </w:tcMar>
            <w:vAlign w:val="center"/>
          </w:tcPr>
          <w:p>
            <w:pPr>
              <w:pStyle w:val="18"/>
              <w:spacing w:line="240" w:lineRule="exact"/>
              <w:rPr>
                <w:rFonts w:hAnsi="宋体"/>
                <w:szCs w:val="21"/>
              </w:rPr>
            </w:pPr>
            <w:r>
              <w:rPr>
                <w:rFonts w:hint="eastAsia"/>
                <w:szCs w:val="21"/>
              </w:rPr>
              <w:t>参照农药标签使用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10" w:hRule="atLeast"/>
        </w:trPr>
        <w:tc>
          <w:tcPr>
            <w:tcW w:w="924" w:type="pct"/>
            <w:tcBorders>
              <w:bottom w:val="single" w:color="auto" w:sz="4" w:space="0"/>
            </w:tcBorders>
            <w:vAlign w:val="center"/>
          </w:tcPr>
          <w:p>
            <w:pPr>
              <w:spacing w:line="240" w:lineRule="exact"/>
              <w:jc w:val="center"/>
              <w:rPr>
                <w:rFonts w:ascii="宋体" w:hAnsi="宋体"/>
                <w:szCs w:val="21"/>
              </w:rPr>
            </w:pPr>
            <w:r>
              <w:rPr>
                <w:rFonts w:hint="eastAsia"/>
                <w:szCs w:val="21"/>
              </w:rPr>
              <w:t>发芽至展叶期</w:t>
            </w:r>
          </w:p>
        </w:tc>
        <w:tc>
          <w:tcPr>
            <w:tcW w:w="1441" w:type="pct"/>
            <w:tcBorders>
              <w:bottom w:val="single" w:color="auto" w:sz="4" w:space="0"/>
            </w:tcBorders>
            <w:vAlign w:val="center"/>
          </w:tcPr>
          <w:p>
            <w:pPr>
              <w:spacing w:line="240" w:lineRule="exact"/>
              <w:jc w:val="center"/>
              <w:rPr>
                <w:rFonts w:ascii="宋体" w:hAnsi="宋体"/>
                <w:szCs w:val="21"/>
              </w:rPr>
            </w:pPr>
            <w:r>
              <w:rPr>
                <w:rFonts w:hint="eastAsia"/>
                <w:szCs w:val="21"/>
              </w:rPr>
              <w:t>绿盲蝽象、食芽象甲、枣瘿蚊</w:t>
            </w:r>
          </w:p>
        </w:tc>
        <w:tc>
          <w:tcPr>
            <w:tcW w:w="1135" w:type="pct"/>
            <w:tcBorders>
              <w:bottom w:val="single" w:color="auto" w:sz="4" w:space="0"/>
            </w:tcBorders>
            <w:vAlign w:val="center"/>
          </w:tcPr>
          <w:p>
            <w:pPr>
              <w:spacing w:line="240" w:lineRule="exact"/>
              <w:jc w:val="center"/>
              <w:rPr>
                <w:szCs w:val="21"/>
              </w:rPr>
            </w:pPr>
            <w:r>
              <w:rPr>
                <w:rFonts w:hint="eastAsia"/>
                <w:szCs w:val="21"/>
              </w:rPr>
              <w:t>吡虫啉、吡蚜酮、三氟氯氰菊酯、</w:t>
            </w:r>
          </w:p>
        </w:tc>
        <w:tc>
          <w:tcPr>
            <w:tcW w:w="1499" w:type="pct"/>
            <w:tcBorders>
              <w:bottom w:val="single" w:color="auto" w:sz="4" w:space="0"/>
            </w:tcBorders>
            <w:tcMar>
              <w:left w:w="113" w:type="dxa"/>
              <w:right w:w="113" w:type="dxa"/>
            </w:tcMar>
            <w:vAlign w:val="center"/>
          </w:tcPr>
          <w:p>
            <w:pPr>
              <w:pStyle w:val="18"/>
              <w:autoSpaceDN/>
              <w:spacing w:line="240" w:lineRule="exact"/>
              <w:rPr>
                <w:rFonts w:hAnsi="宋体"/>
                <w:szCs w:val="21"/>
              </w:rPr>
            </w:pPr>
            <w:r>
              <w:rPr>
                <w:rFonts w:hint="eastAsia"/>
                <w:szCs w:val="21"/>
              </w:rPr>
              <w:t>参照农药标签使用。杀虫剂要连喷3</w:t>
            </w:r>
            <w:r>
              <w:rPr>
                <w:rFonts w:hAnsi="宋体" w:cs="宋体"/>
                <w:color w:val="000000"/>
                <w:szCs w:val="21"/>
              </w:rPr>
              <w:t>～</w:t>
            </w:r>
            <w:r>
              <w:rPr>
                <w:rFonts w:hint="eastAsia"/>
                <w:szCs w:val="21"/>
              </w:rPr>
              <w:t>4次，每次间隔7</w:t>
            </w:r>
            <w:r>
              <w:rPr>
                <w:rFonts w:hAnsi="宋体" w:cs="宋体"/>
                <w:color w:val="000000"/>
                <w:szCs w:val="21"/>
              </w:rPr>
              <w:t>～</w:t>
            </w:r>
            <w:r>
              <w:rPr>
                <w:rFonts w:hint="eastAsia"/>
                <w:szCs w:val="21"/>
              </w:rPr>
              <w:t>10 d。防治绿盲蝽18:00后于树上地面细致喷雾。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0" w:hRule="atLeast"/>
        </w:trPr>
        <w:tc>
          <w:tcPr>
            <w:tcW w:w="924" w:type="pct"/>
            <w:tcBorders>
              <w:top w:val="single" w:color="auto" w:sz="4" w:space="0"/>
              <w:bottom w:val="single" w:color="auto" w:sz="8" w:space="0"/>
            </w:tcBorders>
            <w:vAlign w:val="center"/>
          </w:tcPr>
          <w:p>
            <w:pPr>
              <w:spacing w:line="240" w:lineRule="exact"/>
              <w:jc w:val="center"/>
              <w:rPr>
                <w:rFonts w:ascii="宋体" w:hAnsi="宋体"/>
                <w:szCs w:val="21"/>
              </w:rPr>
            </w:pPr>
            <w:r>
              <w:rPr>
                <w:rFonts w:hint="eastAsia"/>
                <w:szCs w:val="21"/>
              </w:rPr>
              <w:t>花期</w:t>
            </w:r>
          </w:p>
        </w:tc>
        <w:tc>
          <w:tcPr>
            <w:tcW w:w="1441" w:type="pct"/>
            <w:tcBorders>
              <w:top w:val="single" w:color="auto" w:sz="4" w:space="0"/>
              <w:bottom w:val="single" w:color="auto" w:sz="8" w:space="0"/>
            </w:tcBorders>
            <w:vAlign w:val="center"/>
          </w:tcPr>
          <w:p>
            <w:pPr>
              <w:spacing w:line="240" w:lineRule="exact"/>
              <w:jc w:val="center"/>
              <w:rPr>
                <w:rFonts w:ascii="宋体" w:hAnsi="宋体"/>
                <w:szCs w:val="21"/>
              </w:rPr>
            </w:pPr>
            <w:r>
              <w:rPr>
                <w:rFonts w:hint="eastAsia"/>
                <w:szCs w:val="21"/>
              </w:rPr>
              <w:t>桃小食心虫、绿盲蝽象、红蜘蛛</w:t>
            </w:r>
          </w:p>
        </w:tc>
        <w:tc>
          <w:tcPr>
            <w:tcW w:w="1135" w:type="pct"/>
            <w:tcBorders>
              <w:top w:val="single" w:color="auto" w:sz="4" w:space="0"/>
              <w:bottom w:val="single" w:color="auto" w:sz="8" w:space="0"/>
            </w:tcBorders>
            <w:vAlign w:val="center"/>
          </w:tcPr>
          <w:p>
            <w:pPr>
              <w:spacing w:line="240" w:lineRule="exact"/>
              <w:jc w:val="center"/>
              <w:rPr>
                <w:szCs w:val="21"/>
              </w:rPr>
            </w:pPr>
            <w:r>
              <w:rPr>
                <w:rFonts w:hint="eastAsia"/>
                <w:szCs w:val="21"/>
              </w:rPr>
              <w:t>苦参碱、联苯菊酯、阿维菌素</w:t>
            </w:r>
          </w:p>
        </w:tc>
        <w:tc>
          <w:tcPr>
            <w:tcW w:w="1499" w:type="pct"/>
            <w:tcBorders>
              <w:top w:val="single" w:color="auto" w:sz="4" w:space="0"/>
              <w:bottom w:val="single" w:color="auto" w:sz="8" w:space="0"/>
            </w:tcBorders>
            <w:tcMar>
              <w:left w:w="113" w:type="dxa"/>
              <w:right w:w="113" w:type="dxa"/>
            </w:tcMar>
            <w:vAlign w:val="center"/>
          </w:tcPr>
          <w:p>
            <w:pPr>
              <w:pStyle w:val="18"/>
              <w:spacing w:line="240" w:lineRule="exact"/>
              <w:rPr>
                <w:rFonts w:hAnsi="宋体"/>
                <w:szCs w:val="21"/>
              </w:rPr>
            </w:pPr>
            <w:r>
              <w:rPr>
                <w:rFonts w:hint="eastAsia"/>
                <w:szCs w:val="21"/>
              </w:rPr>
              <w:t>参照农药标签使用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15" w:hRule="atLeast"/>
        </w:trPr>
        <w:tc>
          <w:tcPr>
            <w:tcW w:w="924" w:type="pct"/>
            <w:tcBorders>
              <w:top w:val="single" w:color="auto" w:sz="8" w:space="0"/>
            </w:tcBorders>
            <w:vAlign w:val="center"/>
          </w:tcPr>
          <w:p>
            <w:pPr>
              <w:pStyle w:val="19"/>
              <w:numPr>
                <w:ilvl w:val="2"/>
                <w:numId w:val="0"/>
              </w:numPr>
              <w:spacing w:before="0" w:beforeLines="0" w:after="0" w:afterLines="0" w:line="240" w:lineRule="exact"/>
              <w:jc w:val="center"/>
              <w:rPr>
                <w:rFonts w:ascii="宋体" w:hAnsi="宋体"/>
              </w:rPr>
            </w:pPr>
            <w:r>
              <w:rPr>
                <w:rFonts w:hint="eastAsia" w:ascii="Times New Roman" w:eastAsia="宋体"/>
                <w:kern w:val="2"/>
              </w:rPr>
              <w:t>花后幼果期</w:t>
            </w:r>
          </w:p>
        </w:tc>
        <w:tc>
          <w:tcPr>
            <w:tcW w:w="1441" w:type="pct"/>
            <w:tcBorders>
              <w:top w:val="single" w:color="auto" w:sz="8" w:space="0"/>
            </w:tcBorders>
            <w:vAlign w:val="center"/>
          </w:tcPr>
          <w:p>
            <w:pPr>
              <w:spacing w:line="240" w:lineRule="exact"/>
              <w:jc w:val="center"/>
              <w:rPr>
                <w:rFonts w:ascii="宋体" w:hAnsi="宋体"/>
                <w:szCs w:val="21"/>
              </w:rPr>
            </w:pPr>
            <w:r>
              <w:rPr>
                <w:rFonts w:hint="eastAsia"/>
                <w:szCs w:val="21"/>
              </w:rPr>
              <w:t>桃小食心虫、绿盲蝽象、红蜘蛛、枣粘虫</w:t>
            </w:r>
          </w:p>
        </w:tc>
        <w:tc>
          <w:tcPr>
            <w:tcW w:w="1135" w:type="pct"/>
            <w:tcBorders>
              <w:top w:val="single" w:color="auto" w:sz="8" w:space="0"/>
            </w:tcBorders>
            <w:vAlign w:val="center"/>
          </w:tcPr>
          <w:p>
            <w:pPr>
              <w:spacing w:line="240" w:lineRule="exact"/>
              <w:jc w:val="center"/>
              <w:rPr>
                <w:szCs w:val="21"/>
              </w:rPr>
            </w:pPr>
            <w:r>
              <w:rPr>
                <w:rFonts w:hint="eastAsia"/>
                <w:szCs w:val="21"/>
              </w:rPr>
              <w:t>阿维螺螨酯、苦参碱</w:t>
            </w:r>
          </w:p>
        </w:tc>
        <w:tc>
          <w:tcPr>
            <w:tcW w:w="1499" w:type="pct"/>
            <w:tcBorders>
              <w:top w:val="single" w:color="auto" w:sz="8" w:space="0"/>
            </w:tcBorders>
            <w:tcMar>
              <w:left w:w="113" w:type="dxa"/>
              <w:right w:w="113" w:type="dxa"/>
            </w:tcMar>
            <w:vAlign w:val="center"/>
          </w:tcPr>
          <w:p>
            <w:pPr>
              <w:pStyle w:val="18"/>
              <w:spacing w:line="240" w:lineRule="exact"/>
              <w:rPr>
                <w:rFonts w:hAnsi="宋体"/>
                <w:szCs w:val="21"/>
              </w:rPr>
            </w:pPr>
            <w:r>
              <w:rPr>
                <w:rFonts w:hint="eastAsia"/>
                <w:szCs w:val="21"/>
              </w:rPr>
              <w:t>参照农药标签使用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45" w:hRule="atLeast"/>
        </w:trPr>
        <w:tc>
          <w:tcPr>
            <w:tcW w:w="924" w:type="pct"/>
            <w:vAlign w:val="center"/>
          </w:tcPr>
          <w:p>
            <w:pPr>
              <w:pStyle w:val="19"/>
              <w:numPr>
                <w:ilvl w:val="2"/>
                <w:numId w:val="0"/>
              </w:numPr>
              <w:spacing w:before="0" w:beforeLines="0" w:after="0" w:afterLines="0" w:line="240" w:lineRule="exact"/>
              <w:jc w:val="center"/>
              <w:rPr>
                <w:rFonts w:ascii="宋体" w:hAnsi="宋体" w:eastAsia="宋体" w:cs="宋体"/>
              </w:rPr>
            </w:pPr>
            <w:r>
              <w:rPr>
                <w:rFonts w:hint="eastAsia" w:ascii="宋体" w:hAnsi="宋体" w:eastAsia="宋体" w:cs="宋体"/>
              </w:rPr>
              <w:t>果实膨大期</w:t>
            </w:r>
          </w:p>
        </w:tc>
        <w:tc>
          <w:tcPr>
            <w:tcW w:w="1441" w:type="pct"/>
            <w:vAlign w:val="center"/>
          </w:tcPr>
          <w:p>
            <w:pPr>
              <w:spacing w:line="240" w:lineRule="exact"/>
              <w:jc w:val="center"/>
              <w:rPr>
                <w:rFonts w:ascii="宋体" w:hAnsi="宋体"/>
                <w:szCs w:val="21"/>
              </w:rPr>
            </w:pPr>
            <w:r>
              <w:rPr>
                <w:rFonts w:hint="eastAsia"/>
                <w:szCs w:val="21"/>
              </w:rPr>
              <w:t>桃小食心虫、绿盲蝽象、红蜘蛛、枣粘虫</w:t>
            </w:r>
          </w:p>
        </w:tc>
        <w:tc>
          <w:tcPr>
            <w:tcW w:w="1135" w:type="pct"/>
            <w:vAlign w:val="center"/>
          </w:tcPr>
          <w:p>
            <w:pPr>
              <w:spacing w:line="240" w:lineRule="exact"/>
              <w:jc w:val="center"/>
              <w:rPr>
                <w:szCs w:val="21"/>
              </w:rPr>
            </w:pPr>
            <w:r>
              <w:rPr>
                <w:rFonts w:hint="eastAsia"/>
                <w:szCs w:val="21"/>
              </w:rPr>
              <w:t>阿维菌素、高效氯氰菊酯、吡虫啉</w:t>
            </w:r>
          </w:p>
        </w:tc>
        <w:tc>
          <w:tcPr>
            <w:tcW w:w="1499" w:type="pct"/>
            <w:tcMar>
              <w:left w:w="113" w:type="dxa"/>
              <w:right w:w="113" w:type="dxa"/>
            </w:tcMar>
            <w:vAlign w:val="center"/>
          </w:tcPr>
          <w:p>
            <w:pPr>
              <w:pStyle w:val="18"/>
              <w:spacing w:line="240" w:lineRule="exact"/>
              <w:jc w:val="left"/>
              <w:rPr>
                <w:rFonts w:hAnsi="宋体"/>
                <w:szCs w:val="21"/>
              </w:rPr>
            </w:pPr>
            <w:r>
              <w:rPr>
                <w:rFonts w:hint="eastAsia"/>
                <w:szCs w:val="21"/>
              </w:rPr>
              <w:t>参照农药标签使用</w:t>
            </w:r>
          </w:p>
        </w:tc>
      </w:tr>
    </w:tbl>
    <w:p/>
    <w:p>
      <w:pPr>
        <w:spacing w:line="560" w:lineRule="exact"/>
        <w:ind w:firstLine="642" w:firstLineChars="200"/>
        <w:rPr>
          <w:rFonts w:hint="eastAsia" w:ascii="楷体_GB2312" w:hAnsi="宋体" w:eastAsia="楷体_GB2312" w:cs="Times New Roman"/>
          <w:b/>
          <w:bCs w:val="0"/>
          <w:kern w:val="2"/>
          <w:sz w:val="32"/>
          <w:szCs w:val="32"/>
          <w:lang w:val="en-US" w:eastAsia="zh-CN" w:bidi="ar-SA"/>
        </w:rPr>
      </w:pPr>
      <w:r>
        <w:rPr>
          <w:rFonts w:hint="eastAsia" w:ascii="楷体_GB2312" w:hAnsi="宋体" w:eastAsia="楷体_GB2312" w:cs="Times New Roman"/>
          <w:b/>
          <w:bCs w:val="0"/>
          <w:kern w:val="2"/>
          <w:sz w:val="32"/>
          <w:szCs w:val="32"/>
          <w:lang w:val="en-US" w:eastAsia="zh-CN" w:bidi="ar-SA"/>
        </w:rPr>
        <w:t>（二）预期社会和经济效益</w:t>
      </w:r>
    </w:p>
    <w:p>
      <w:pPr>
        <w:spacing w:line="560" w:lineRule="exact"/>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科学有效的</w:t>
      </w:r>
      <w:r>
        <w:rPr>
          <w:rFonts w:hint="eastAsia" w:ascii="仿宋_GB2312" w:hAnsi="宋体" w:eastAsia="仿宋_GB2312"/>
          <w:color w:val="000000"/>
          <w:sz w:val="28"/>
          <w:szCs w:val="28"/>
          <w:lang w:eastAsia="zh-CN"/>
        </w:rPr>
        <w:t>质量控制技术规程是达到质量要求所采取的作业技术和活动，是现代科学管理的重要手段，在确保产品或服务的质量符合预期要求的同时，降低质量风险和成本，提高生产效率，增强市场竞争力</w:t>
      </w:r>
      <w:r>
        <w:rPr>
          <w:rFonts w:hint="eastAsia" w:ascii="仿宋_GB2312" w:hAnsi="宋体" w:eastAsia="仿宋_GB2312"/>
          <w:color w:val="000000"/>
          <w:sz w:val="28"/>
          <w:szCs w:val="28"/>
        </w:rPr>
        <w:t>。本标准的实施将对全省的冬枣生产单位进行</w:t>
      </w:r>
      <w:r>
        <w:rPr>
          <w:rFonts w:hint="eastAsia" w:ascii="仿宋_GB2312" w:hAnsi="宋体" w:eastAsia="仿宋_GB2312"/>
          <w:color w:val="000000"/>
          <w:sz w:val="28"/>
          <w:szCs w:val="28"/>
          <w:lang w:eastAsia="zh-CN"/>
        </w:rPr>
        <w:t>标准化的科学管理</w:t>
      </w:r>
      <w:r>
        <w:rPr>
          <w:rFonts w:hint="eastAsia" w:ascii="仿宋_GB2312" w:hAnsi="宋体" w:eastAsia="仿宋_GB2312"/>
          <w:color w:val="000000"/>
          <w:sz w:val="28"/>
          <w:szCs w:val="28"/>
        </w:rPr>
        <w:t>提供有力的技术支撑；在产地环境要求、生产过程控制、质量安全追溯上措施更明确；在提高冬枣品质、增加种植效益上更显著，按标准推广覆盖冬枣面积50%测算，可增加农民收入10000万元；在保障全省农产品质量安全、维护生态环境方面具有深远意义。</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642" w:firstLineChars="200"/>
        <w:textAlignment w:val="auto"/>
        <w:rPr>
          <w:rFonts w:ascii="宋体" w:hAnsi="宋体"/>
          <w:b/>
          <w:sz w:val="32"/>
          <w:szCs w:val="32"/>
        </w:rPr>
      </w:pPr>
      <w:r>
        <w:rPr>
          <w:rFonts w:hint="eastAsia" w:ascii="宋体" w:hAnsi="宋体"/>
          <w:b/>
          <w:sz w:val="32"/>
          <w:szCs w:val="32"/>
        </w:rPr>
        <w:t>六、重大意见分歧的处理依据和结果</w:t>
      </w:r>
    </w:p>
    <w:p>
      <w:pPr>
        <w:spacing w:line="560" w:lineRule="exact"/>
        <w:ind w:firstLine="560" w:firstLineChars="200"/>
        <w:rPr>
          <w:rFonts w:ascii="仿宋_GB2312" w:eastAsia="仿宋_GB2312"/>
          <w:color w:val="000000"/>
          <w:kern w:val="0"/>
          <w:sz w:val="28"/>
          <w:szCs w:val="28"/>
        </w:rPr>
      </w:pPr>
      <w:r>
        <w:rPr>
          <w:rFonts w:hint="eastAsia" w:ascii="仿宋_GB2312" w:eastAsia="仿宋_GB2312"/>
          <w:color w:val="000000"/>
          <w:kern w:val="0"/>
          <w:sz w:val="28"/>
          <w:szCs w:val="28"/>
        </w:rPr>
        <w:t>征求意见稿形成以后，制订组广泛征求了山西省农业农村厅、运城市农业农村局、山西省农业厅园艺中心、山西农大、运城市职业技术学院、运城市综合检验检测中心及冬枣主产地等10余家单位专家意见，共收回意见和建议</w:t>
      </w:r>
      <w:r>
        <w:rPr>
          <w:rFonts w:hint="eastAsia" w:ascii="仿宋_GB2312" w:eastAsia="仿宋_GB2312"/>
          <w:kern w:val="0"/>
          <w:sz w:val="28"/>
          <w:szCs w:val="28"/>
        </w:rPr>
        <w:t>7条</w:t>
      </w:r>
      <w:r>
        <w:rPr>
          <w:rFonts w:hint="eastAsia" w:ascii="仿宋_GB2312" w:eastAsia="仿宋_GB2312"/>
          <w:color w:val="000000"/>
          <w:kern w:val="0"/>
          <w:sz w:val="28"/>
          <w:szCs w:val="28"/>
        </w:rPr>
        <w:t>，主要集中在是文件结构及病虫害防治方面，通过论证，全部采纳。征求意见情况见附表。</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642" w:firstLineChars="200"/>
        <w:textAlignment w:val="auto"/>
        <w:rPr>
          <w:rFonts w:ascii="宋体" w:hAnsi="宋体"/>
          <w:b/>
          <w:sz w:val="32"/>
          <w:szCs w:val="32"/>
        </w:rPr>
      </w:pPr>
      <w:r>
        <w:rPr>
          <w:rFonts w:hint="eastAsia" w:ascii="宋体" w:hAnsi="宋体"/>
          <w:b/>
          <w:sz w:val="32"/>
          <w:szCs w:val="32"/>
        </w:rPr>
        <w:t>七、作为推荐性标准的建议及其理由</w:t>
      </w:r>
    </w:p>
    <w:p>
      <w:pPr>
        <w:spacing w:line="560" w:lineRule="exact"/>
        <w:ind w:firstLine="560" w:firstLineChars="200"/>
        <w:rPr>
          <w:rFonts w:hint="eastAsia" w:ascii="仿宋_GB2312" w:eastAsia="仿宋_GB2312"/>
          <w:color w:val="000000"/>
          <w:kern w:val="0"/>
          <w:sz w:val="28"/>
          <w:szCs w:val="28"/>
        </w:rPr>
      </w:pPr>
      <w:r>
        <w:rPr>
          <w:rFonts w:hint="eastAsia" w:ascii="仿宋_GB2312" w:eastAsia="仿宋_GB2312"/>
          <w:color w:val="000000"/>
          <w:kern w:val="0"/>
          <w:sz w:val="28"/>
          <w:szCs w:val="28"/>
        </w:rPr>
        <w:t>建议本标准为推荐性标准。建议有关部门及生产单位根据当地生产条件参照执行。本标准未说明的技术措施，仍采用常规农艺措施。</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642" w:firstLineChars="200"/>
        <w:textAlignment w:val="auto"/>
        <w:rPr>
          <w:rFonts w:ascii="宋体" w:hAnsi="宋体"/>
          <w:b/>
          <w:sz w:val="32"/>
          <w:szCs w:val="32"/>
        </w:rPr>
      </w:pPr>
      <w:r>
        <w:rPr>
          <w:rFonts w:hint="eastAsia" w:ascii="宋体" w:hAnsi="宋体"/>
          <w:b/>
          <w:sz w:val="32"/>
          <w:szCs w:val="32"/>
        </w:rPr>
        <w:t>八、标准实施的措施建议</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ascii="楷体_GB2312" w:hAnsi="仿宋" w:eastAsia="楷体_GB2312"/>
          <w:b/>
          <w:color w:val="000000"/>
          <w:sz w:val="28"/>
          <w:szCs w:val="28"/>
        </w:rPr>
      </w:pPr>
      <w:r>
        <w:rPr>
          <w:rFonts w:hint="eastAsia" w:ascii="楷体_GB2312" w:hAnsi="仿宋" w:eastAsia="楷体_GB2312"/>
          <w:b/>
          <w:color w:val="000000"/>
          <w:sz w:val="28"/>
          <w:szCs w:val="28"/>
        </w:rPr>
        <w:t>1.加大标准的宣传力度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olor w:val="000000"/>
          <w:sz w:val="28"/>
          <w:szCs w:val="28"/>
        </w:rPr>
      </w:pPr>
      <w:r>
        <w:rPr>
          <w:rFonts w:hint="eastAsia" w:ascii="仿宋_GB2312" w:hAnsi="宋体" w:eastAsia="仿宋_GB2312"/>
          <w:color w:val="000000"/>
          <w:sz w:val="28"/>
          <w:szCs w:val="28"/>
        </w:rPr>
        <w:t>标准颁布实施后，首先要加大宣传力度，利用各种媒体，采取多种形式广泛宣传。在“山西农业农村厅”、“山西省市场监督管理局”官网和省内主要期刊、杂志和报纸上进行专题介绍和标准宣贯，引导生产者积极运用，推进我省冬枣生产技术的提高。</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ascii="楷体_GB2312" w:hAnsi="仿宋" w:eastAsia="楷体_GB2312"/>
          <w:b/>
          <w:color w:val="000000"/>
          <w:sz w:val="28"/>
          <w:szCs w:val="28"/>
        </w:rPr>
      </w:pPr>
      <w:r>
        <w:rPr>
          <w:rFonts w:hint="eastAsia" w:ascii="楷体_GB2312" w:hAnsi="仿宋" w:eastAsia="楷体_GB2312"/>
          <w:b/>
          <w:color w:val="000000"/>
          <w:sz w:val="28"/>
          <w:szCs w:val="28"/>
        </w:rPr>
        <w:t>2.建立冬枣标准化示范区</w:t>
      </w:r>
    </w:p>
    <w:p>
      <w:pPr>
        <w:keepNext w:val="0"/>
        <w:keepLines w:val="0"/>
        <w:pageBreakBefore w:val="0"/>
        <w:widowControl w:val="0"/>
        <w:kinsoku/>
        <w:wordWrap/>
        <w:overflowPunct/>
        <w:topLinePunct w:val="0"/>
        <w:autoSpaceDE/>
        <w:autoSpaceDN/>
        <w:bidi w:val="0"/>
        <w:adjustRightInd/>
        <w:snapToGrid/>
        <w:spacing w:line="560" w:lineRule="exact"/>
        <w:ind w:firstLine="536" w:firstLineChars="200"/>
        <w:textAlignment w:val="auto"/>
        <w:rPr>
          <w:rFonts w:ascii="仿宋_GB2312" w:hAnsi="宋体" w:eastAsia="仿宋_GB2312"/>
          <w:color w:val="000000"/>
          <w:spacing w:val="-6"/>
          <w:sz w:val="28"/>
          <w:szCs w:val="28"/>
        </w:rPr>
      </w:pPr>
      <w:r>
        <w:rPr>
          <w:rFonts w:hint="eastAsia" w:ascii="仿宋_GB2312" w:hAnsi="宋体" w:eastAsia="仿宋_GB2312"/>
          <w:color w:val="000000"/>
          <w:spacing w:val="-6"/>
          <w:sz w:val="28"/>
          <w:szCs w:val="28"/>
        </w:rPr>
        <w:t>结合我省冬枣生产基地，建立标准化冬枣园，带动本标准的广泛实施</w:t>
      </w:r>
      <w:r>
        <w:rPr>
          <w:rFonts w:hint="eastAsia" w:ascii="仿宋_GB2312" w:eastAsia="仿宋_GB2312"/>
          <w:kern w:val="0"/>
          <w:sz w:val="28"/>
          <w:szCs w:val="28"/>
        </w:rPr>
        <w:t>，探索现代农业发展新途径，促进冬枣产业的高质量发展，也使冬枣的营养及保健功能尽早地造福于人类。</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ascii="楷体_GB2312" w:hAnsi="仿宋" w:eastAsia="楷体_GB2312"/>
          <w:b/>
          <w:color w:val="000000"/>
          <w:sz w:val="28"/>
          <w:szCs w:val="28"/>
        </w:rPr>
      </w:pPr>
      <w:r>
        <w:rPr>
          <w:rFonts w:hint="eastAsia" w:ascii="楷体_GB2312" w:hAnsi="仿宋" w:eastAsia="楷体_GB2312"/>
          <w:b/>
          <w:color w:val="000000"/>
          <w:sz w:val="28"/>
          <w:szCs w:val="28"/>
        </w:rPr>
        <w:t>3．加强标准应用的技术培训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kern w:val="0"/>
          <w:sz w:val="28"/>
          <w:szCs w:val="28"/>
        </w:rPr>
      </w:pPr>
      <w:r>
        <w:rPr>
          <w:rFonts w:hint="eastAsia" w:ascii="仿宋_GB2312" w:hAnsi="宋体" w:eastAsia="仿宋_GB2312"/>
          <w:color w:val="000000"/>
          <w:sz w:val="28"/>
          <w:szCs w:val="28"/>
        </w:rPr>
        <w:t>在标准发布实施的初期，让</w:t>
      </w:r>
      <w:r>
        <w:rPr>
          <w:rFonts w:hint="eastAsia" w:ascii="仿宋_GB2312" w:eastAsia="仿宋_GB2312"/>
          <w:kern w:val="0"/>
          <w:sz w:val="28"/>
          <w:szCs w:val="28"/>
        </w:rPr>
        <w:t>有条件的地区配套专项资金进行试验、示范，培育技术骨干，使标准能够更好更快的推广开来，提高冬枣的种植效益。</w:t>
      </w:r>
    </w:p>
    <w:p>
      <w:pPr>
        <w:pStyle w:val="2"/>
      </w:pPr>
    </w:p>
    <w:p>
      <w:pPr>
        <w:adjustRightInd w:val="0"/>
        <w:spacing w:line="360" w:lineRule="auto"/>
        <w:ind w:firstLine="4760" w:firstLineChars="1700"/>
        <w:jc w:val="left"/>
        <w:rPr>
          <w:rFonts w:ascii="宋体" w:hAnsi="宋体" w:cs="宋体"/>
          <w:b/>
          <w:bCs/>
          <w:sz w:val="36"/>
          <w:szCs w:val="36"/>
        </w:rPr>
        <w:sectPr>
          <w:footerReference r:id="rId9" w:type="default"/>
          <w:pgSz w:w="11906" w:h="16838"/>
          <w:pgMar w:top="1440" w:right="1800" w:bottom="1440" w:left="1800" w:header="851" w:footer="992" w:gutter="0"/>
          <w:cols w:space="425" w:num="1"/>
          <w:docGrid w:type="lines" w:linePitch="312" w:charSpace="0"/>
        </w:sectPr>
      </w:pPr>
      <w:r>
        <w:rPr>
          <w:rFonts w:hint="eastAsia" w:ascii="仿宋_GB2312" w:eastAsia="仿宋_GB2312"/>
          <w:kern w:val="0"/>
          <w:sz w:val="28"/>
          <w:szCs w:val="28"/>
        </w:rPr>
        <w:t>2024年10月29日</w:t>
      </w:r>
    </w:p>
    <w:p>
      <w:pPr>
        <w:pStyle w:val="2"/>
        <w:ind w:left="420"/>
        <w:rPr>
          <w:rFonts w:asciiTheme="minorEastAsia" w:hAnsiTheme="minorEastAsia" w:eastAsiaTheme="minorEastAsia"/>
        </w:rPr>
      </w:pPr>
      <w:r>
        <w:rPr>
          <w:rFonts w:hint="eastAsia" w:asciiTheme="minorEastAsia" w:hAnsiTheme="minorEastAsia" w:eastAsiaTheme="minorEastAsia"/>
        </w:rPr>
        <w:t>附表：</w:t>
      </w:r>
    </w:p>
    <w:p>
      <w:pPr>
        <w:spacing w:after="159" w:afterLines="50"/>
        <w:jc w:val="center"/>
        <w:rPr>
          <w:rFonts w:ascii="宋体" w:hAnsi="宋体" w:cs="宋体"/>
          <w:b/>
          <w:bCs/>
          <w:sz w:val="36"/>
          <w:szCs w:val="36"/>
        </w:rPr>
      </w:pPr>
      <w:r>
        <w:rPr>
          <w:rFonts w:hint="eastAsia" w:ascii="宋体" w:hAnsi="宋体" w:cs="宋体"/>
          <w:b/>
          <w:bCs/>
          <w:sz w:val="36"/>
          <w:szCs w:val="36"/>
        </w:rPr>
        <w:t>征求意见汇总处理表</w:t>
      </w:r>
    </w:p>
    <w:p>
      <w:pPr>
        <w:spacing w:line="360" w:lineRule="exact"/>
        <w:ind w:firstLine="480" w:firstLineChars="200"/>
        <w:rPr>
          <w:rFonts w:ascii="仿宋_GB2312" w:hAnsi="宋体" w:eastAsia="仿宋_GB2312"/>
          <w:sz w:val="24"/>
        </w:rPr>
      </w:pPr>
      <w:r>
        <w:rPr>
          <w:rFonts w:hint="eastAsia" w:ascii="仿宋_GB2312" w:hAnsi="宋体" w:eastAsia="仿宋_GB2312"/>
          <w:sz w:val="24"/>
        </w:rPr>
        <w:t>起草单位：山西省检验检测中心     承办人：</w:t>
      </w:r>
      <w:r>
        <w:rPr>
          <w:rFonts w:hint="eastAsia" w:ascii="宋体" w:hAnsi="宋体"/>
          <w:color w:val="000000"/>
          <w:szCs w:val="21"/>
        </w:rPr>
        <w:t>王慧兰</w:t>
      </w:r>
      <w:r>
        <w:rPr>
          <w:rFonts w:hint="eastAsia" w:ascii="仿宋_GB2312" w:hAnsi="宋体" w:eastAsia="仿宋_GB2312"/>
          <w:sz w:val="24"/>
        </w:rPr>
        <w:t xml:space="preserve">     联系电话：</w:t>
      </w:r>
      <w:r>
        <w:rPr>
          <w:rFonts w:hint="eastAsia" w:ascii="宋体" w:hAnsi="宋体"/>
          <w:color w:val="000000"/>
          <w:szCs w:val="21"/>
        </w:rPr>
        <w:t>0351-6779144</w:t>
      </w:r>
      <w:r>
        <w:rPr>
          <w:rFonts w:hint="eastAsia" w:ascii="仿宋_GB2312" w:hAnsi="宋体" w:eastAsia="仿宋_GB2312"/>
          <w:sz w:val="24"/>
        </w:rPr>
        <w:t xml:space="preserve">         填写时间：2024年10月18日</w:t>
      </w:r>
    </w:p>
    <w:p>
      <w:pPr>
        <w:spacing w:line="360" w:lineRule="exact"/>
        <w:ind w:firstLine="1200" w:firstLineChars="500"/>
        <w:rPr>
          <w:rFonts w:ascii="仿宋_GB2312" w:hAnsi="宋体" w:eastAsia="仿宋_GB2312"/>
          <w:sz w:val="24"/>
        </w:rPr>
      </w:pPr>
      <w:r>
        <w:rPr>
          <w:rFonts w:hint="eastAsia" w:ascii="仿宋_GB2312" w:hAnsi="宋体" w:eastAsia="仿宋_GB2312"/>
          <w:sz w:val="24"/>
        </w:rPr>
        <w:t xml:space="preserve">（山西省标准计量技术研究院）            </w:t>
      </w:r>
    </w:p>
    <w:tbl>
      <w:tblPr>
        <w:tblStyle w:val="9"/>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4105"/>
        <w:gridCol w:w="2867"/>
        <w:gridCol w:w="2050"/>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vAlign w:val="center"/>
          </w:tcPr>
          <w:p>
            <w:pPr>
              <w:jc w:val="center"/>
              <w:rPr>
                <w:rFonts w:ascii="仿宋_GB2312" w:hAnsi="宋体" w:eastAsia="仿宋_GB2312"/>
                <w:sz w:val="24"/>
              </w:rPr>
            </w:pPr>
            <w:r>
              <w:rPr>
                <w:rFonts w:hint="eastAsia" w:ascii="仿宋_GB2312" w:hAnsi="宋体" w:eastAsia="仿宋_GB2312"/>
                <w:sz w:val="24"/>
              </w:rPr>
              <w:t>序号</w:t>
            </w:r>
          </w:p>
        </w:tc>
        <w:tc>
          <w:tcPr>
            <w:tcW w:w="1692" w:type="dxa"/>
            <w:vAlign w:val="center"/>
          </w:tcPr>
          <w:p>
            <w:pPr>
              <w:spacing w:line="240" w:lineRule="exact"/>
              <w:jc w:val="center"/>
              <w:rPr>
                <w:rFonts w:ascii="仿宋_GB2312" w:hAnsi="宋体" w:eastAsia="仿宋_GB2312"/>
                <w:sz w:val="24"/>
              </w:rPr>
            </w:pPr>
            <w:r>
              <w:rPr>
                <w:rFonts w:hint="eastAsia" w:ascii="仿宋_GB2312" w:hAnsi="宋体" w:eastAsia="仿宋_GB2312"/>
                <w:sz w:val="24"/>
              </w:rPr>
              <w:t>标准章条编号</w:t>
            </w:r>
          </w:p>
        </w:tc>
        <w:tc>
          <w:tcPr>
            <w:tcW w:w="4105" w:type="dxa"/>
            <w:vAlign w:val="center"/>
          </w:tcPr>
          <w:p>
            <w:pPr>
              <w:spacing w:line="240" w:lineRule="exact"/>
              <w:jc w:val="center"/>
              <w:rPr>
                <w:rFonts w:ascii="仿宋_GB2312" w:hAnsi="宋体" w:eastAsia="仿宋_GB2312"/>
                <w:sz w:val="24"/>
              </w:rPr>
            </w:pPr>
            <w:r>
              <w:rPr>
                <w:rFonts w:hint="eastAsia" w:ascii="仿宋_GB2312" w:hAnsi="宋体" w:eastAsia="仿宋_GB2312"/>
                <w:sz w:val="24"/>
              </w:rPr>
              <w:t>意见内容</w:t>
            </w:r>
          </w:p>
        </w:tc>
        <w:tc>
          <w:tcPr>
            <w:tcW w:w="2867" w:type="dxa"/>
            <w:vAlign w:val="center"/>
          </w:tcPr>
          <w:p>
            <w:pPr>
              <w:spacing w:line="240" w:lineRule="exact"/>
              <w:jc w:val="center"/>
              <w:rPr>
                <w:rFonts w:ascii="仿宋_GB2312" w:hAnsi="宋体" w:eastAsia="仿宋_GB2312"/>
                <w:sz w:val="24"/>
              </w:rPr>
            </w:pPr>
            <w:r>
              <w:rPr>
                <w:rFonts w:hint="eastAsia" w:ascii="仿宋_GB2312" w:hAnsi="宋体" w:eastAsia="仿宋_GB2312"/>
                <w:sz w:val="24"/>
              </w:rPr>
              <w:t>提出单位</w:t>
            </w:r>
          </w:p>
          <w:p>
            <w:pPr>
              <w:spacing w:line="240" w:lineRule="exact"/>
              <w:jc w:val="center"/>
              <w:rPr>
                <w:rFonts w:ascii="仿宋_GB2312" w:hAnsi="宋体" w:eastAsia="仿宋_GB2312"/>
                <w:sz w:val="24"/>
              </w:rPr>
            </w:pPr>
            <w:r>
              <w:rPr>
                <w:rFonts w:hint="eastAsia" w:ascii="仿宋_GB2312" w:hAnsi="宋体" w:eastAsia="仿宋_GB2312"/>
                <w:sz w:val="24"/>
              </w:rPr>
              <w:t>（或个人）</w:t>
            </w:r>
          </w:p>
        </w:tc>
        <w:tc>
          <w:tcPr>
            <w:tcW w:w="2050" w:type="dxa"/>
            <w:vAlign w:val="center"/>
          </w:tcPr>
          <w:p>
            <w:pPr>
              <w:spacing w:line="240" w:lineRule="exact"/>
              <w:jc w:val="center"/>
              <w:rPr>
                <w:rFonts w:ascii="仿宋_GB2312" w:hAnsi="宋体" w:eastAsia="仿宋_GB2312"/>
                <w:sz w:val="24"/>
              </w:rPr>
            </w:pPr>
            <w:r>
              <w:rPr>
                <w:rFonts w:hint="eastAsia" w:ascii="仿宋_GB2312" w:hAnsi="宋体" w:eastAsia="仿宋_GB2312"/>
                <w:sz w:val="24"/>
              </w:rPr>
              <w:t>处理意见</w:t>
            </w:r>
          </w:p>
          <w:p>
            <w:pPr>
              <w:spacing w:line="240" w:lineRule="exact"/>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2112" w:type="dxa"/>
            <w:vAlign w:val="center"/>
          </w:tcPr>
          <w:p>
            <w:pPr>
              <w:spacing w:line="240" w:lineRule="exact"/>
              <w:jc w:val="center"/>
              <w:rPr>
                <w:rFonts w:ascii="仿宋_GB2312" w:hAnsi="宋体" w:eastAsia="仿宋_GB2312"/>
                <w:sz w:val="24"/>
              </w:rPr>
            </w:pPr>
            <w:r>
              <w:rPr>
                <w:rFonts w:hint="eastAsia" w:ascii="仿宋_GB2312" w:hAnsi="宋体" w:eastAsia="仿宋_GB2312"/>
                <w:sz w:val="24"/>
              </w:rPr>
              <w:t>意见处理说明</w:t>
            </w:r>
          </w:p>
          <w:p>
            <w:pPr>
              <w:spacing w:line="240" w:lineRule="exact"/>
              <w:jc w:val="center"/>
              <w:rPr>
                <w:rFonts w:ascii="仿宋_GB2312" w:hAnsi="宋体" w:eastAsia="仿宋_GB2312"/>
                <w:sz w:val="24"/>
              </w:rPr>
            </w:pPr>
            <w:r>
              <w:rPr>
                <w:rFonts w:hint="eastAsia" w:ascii="仿宋_GB2312" w:hAnsi="宋体" w:eastAsia="仿宋_GB2312"/>
                <w:sz w:val="24"/>
              </w:rPr>
              <w:t>（不采纳理由等）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1</w:t>
            </w:r>
          </w:p>
        </w:tc>
        <w:tc>
          <w:tcPr>
            <w:tcW w:w="1692" w:type="dxa"/>
            <w:vAlign w:val="center"/>
          </w:tcPr>
          <w:p>
            <w:pPr>
              <w:spacing w:line="360" w:lineRule="exact"/>
              <w:jc w:val="center"/>
              <w:rPr>
                <w:rFonts w:ascii="仿宋_GB2312" w:hAnsi="宋体" w:eastAsia="仿宋_GB2312"/>
                <w:sz w:val="24"/>
              </w:rPr>
            </w:pP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文本章节过多，建议精简结构</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山西省农业农村厅</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2</w:t>
            </w:r>
          </w:p>
        </w:tc>
        <w:tc>
          <w:tcPr>
            <w:tcW w:w="1692"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3</w:t>
            </w: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增加术语和定义</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运城市职业技术学院</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3</w:t>
            </w:r>
          </w:p>
        </w:tc>
        <w:tc>
          <w:tcPr>
            <w:tcW w:w="1692"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4.2.1</w:t>
            </w: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将“园地规划”和“园地选择”的内容合并成一个</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山西农大</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4</w:t>
            </w:r>
          </w:p>
        </w:tc>
        <w:tc>
          <w:tcPr>
            <w:tcW w:w="1692"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6</w:t>
            </w: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农药的名称统一写成学名，或成分的学名</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运城市综合检验检测中心</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5</w:t>
            </w:r>
          </w:p>
        </w:tc>
        <w:tc>
          <w:tcPr>
            <w:tcW w:w="1692"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6.3.3</w:t>
            </w: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将“生物防治”中“赤眼蜂”、“白僵菌”等生产上不常用措施删除</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运城经济开发区全安农民种植专业合作社</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6</w:t>
            </w:r>
          </w:p>
        </w:tc>
        <w:tc>
          <w:tcPr>
            <w:tcW w:w="1692"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6.3.5</w:t>
            </w: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将“化学防治”中冬枣主要病虫害防控方法以表格的形式表示出来</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运城市农业农村局</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49"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7</w:t>
            </w:r>
          </w:p>
        </w:tc>
        <w:tc>
          <w:tcPr>
            <w:tcW w:w="1692"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9</w:t>
            </w:r>
          </w:p>
        </w:tc>
        <w:tc>
          <w:tcPr>
            <w:tcW w:w="4105"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对冬枣贮存和运输的条件进一步明确</w:t>
            </w:r>
          </w:p>
        </w:tc>
        <w:tc>
          <w:tcPr>
            <w:tcW w:w="2867"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山西省农业厅园艺中心</w:t>
            </w:r>
          </w:p>
        </w:tc>
        <w:tc>
          <w:tcPr>
            <w:tcW w:w="2050" w:type="dxa"/>
            <w:vAlign w:val="center"/>
          </w:tcPr>
          <w:p>
            <w:pPr>
              <w:spacing w:line="360" w:lineRule="exact"/>
              <w:jc w:val="center"/>
              <w:rPr>
                <w:rFonts w:ascii="仿宋_GB2312" w:hAnsi="宋体" w:eastAsia="仿宋_GB2312"/>
                <w:sz w:val="24"/>
              </w:rPr>
            </w:pPr>
            <w:r>
              <w:rPr>
                <w:rFonts w:hint="eastAsia" w:ascii="仿宋_GB2312" w:hAnsi="宋体" w:eastAsia="仿宋_GB2312"/>
                <w:sz w:val="24"/>
              </w:rPr>
              <w:t>采纳</w:t>
            </w:r>
          </w:p>
        </w:tc>
        <w:tc>
          <w:tcPr>
            <w:tcW w:w="2112" w:type="dxa"/>
            <w:vAlign w:val="center"/>
          </w:tcPr>
          <w:p>
            <w:pPr>
              <w:spacing w:line="360" w:lineRule="exac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vAlign w:val="center"/>
          </w:tcPr>
          <w:p>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pPr>
              <w:spacing w:line="280" w:lineRule="exact"/>
              <w:rPr>
                <w:rFonts w:ascii="仿宋_GB2312" w:hAnsi="宋体" w:eastAsia="仿宋_GB2312"/>
                <w:sz w:val="24"/>
              </w:rPr>
            </w:pPr>
            <w:r>
              <w:rPr>
                <w:rFonts w:hint="eastAsia" w:ascii="仿宋_GB2312" w:hAnsi="宋体" w:eastAsia="仿宋_GB2312"/>
                <w:sz w:val="24"/>
              </w:rPr>
              <w:t>2.发送征求意见单位数</w:t>
            </w:r>
            <w:r>
              <w:rPr>
                <w:szCs w:val="21"/>
                <w:u w:val="single"/>
              </w:rPr>
              <w:t xml:space="preserve"> </w:t>
            </w:r>
            <w:r>
              <w:rPr>
                <w:rFonts w:hint="eastAsia"/>
                <w:szCs w:val="21"/>
                <w:u w:val="single"/>
              </w:rPr>
              <w:t>10</w:t>
            </w:r>
            <w:r>
              <w:rPr>
                <w:szCs w:val="21"/>
                <w:u w:val="single"/>
              </w:rPr>
              <w:t xml:space="preserve"> </w:t>
            </w:r>
            <w:r>
              <w:rPr>
                <w:rFonts w:hint="eastAsia" w:ascii="仿宋_GB2312" w:hAnsi="宋体" w:eastAsia="仿宋_GB2312"/>
                <w:sz w:val="24"/>
              </w:rPr>
              <w:t>个，收到征求意见稿回函的单位数</w:t>
            </w:r>
            <w:r>
              <w:rPr>
                <w:szCs w:val="21"/>
                <w:u w:val="single"/>
              </w:rPr>
              <w:t xml:space="preserve"> </w:t>
            </w:r>
            <w:r>
              <w:rPr>
                <w:rFonts w:hint="eastAsia"/>
                <w:szCs w:val="21"/>
                <w:u w:val="single"/>
              </w:rPr>
              <w:t>7</w:t>
            </w:r>
            <w:r>
              <w:rPr>
                <w:rFonts w:hint="eastAsia" w:ascii="仿宋_GB2312" w:hAnsi="宋体" w:eastAsia="仿宋_GB2312"/>
                <w:sz w:val="24"/>
              </w:rPr>
              <w:t>个，收到征求意见稿并提出意见的单位数</w:t>
            </w:r>
            <w:r>
              <w:rPr>
                <w:rFonts w:hint="eastAsia" w:ascii="仿宋_GB2312" w:hAnsi="宋体" w:eastAsia="仿宋_GB2312"/>
                <w:sz w:val="24"/>
                <w:u w:val="single"/>
              </w:rPr>
              <w:t>7</w:t>
            </w:r>
            <w:r>
              <w:rPr>
                <w:szCs w:val="21"/>
                <w:u w:val="single"/>
              </w:rPr>
              <w:t xml:space="preserve"> </w:t>
            </w:r>
            <w:r>
              <w:rPr>
                <w:rFonts w:hint="eastAsia" w:ascii="仿宋_GB2312" w:hAnsi="宋体" w:eastAsia="仿宋_GB2312"/>
                <w:sz w:val="24"/>
              </w:rPr>
              <w:t>个，没有回函的单位数</w:t>
            </w:r>
            <w:r>
              <w:rPr>
                <w:szCs w:val="21"/>
                <w:u w:val="single"/>
              </w:rPr>
              <w:t xml:space="preserve"> </w:t>
            </w:r>
            <w:r>
              <w:rPr>
                <w:rFonts w:hint="eastAsia"/>
                <w:szCs w:val="21"/>
                <w:u w:val="single"/>
              </w:rPr>
              <w:t>3</w:t>
            </w:r>
            <w:r>
              <w:rPr>
                <w:rFonts w:hint="eastAsia" w:ascii="仿宋_GB2312" w:hAnsi="宋体" w:eastAsia="仿宋_GB2312"/>
                <w:sz w:val="24"/>
              </w:rPr>
              <w:t>个，共收到</w:t>
            </w:r>
            <w:r>
              <w:rPr>
                <w:szCs w:val="21"/>
                <w:u w:val="single"/>
              </w:rPr>
              <w:t xml:space="preserve"> </w:t>
            </w:r>
            <w:r>
              <w:rPr>
                <w:rFonts w:hint="eastAsia"/>
                <w:szCs w:val="21"/>
                <w:u w:val="single"/>
              </w:rPr>
              <w:t>7</w:t>
            </w:r>
            <w:r>
              <w:rPr>
                <w:szCs w:val="21"/>
                <w:u w:val="single"/>
              </w:rPr>
              <w:t xml:space="preserve"> </w:t>
            </w:r>
            <w:r>
              <w:rPr>
                <w:rFonts w:hint="eastAsia" w:ascii="仿宋_GB2312" w:hAnsi="宋体" w:eastAsia="仿宋_GB2312"/>
                <w:sz w:val="24"/>
              </w:rPr>
              <w:t>条意见，采纳</w:t>
            </w:r>
            <w:r>
              <w:rPr>
                <w:szCs w:val="21"/>
                <w:u w:val="single"/>
              </w:rPr>
              <w:t xml:space="preserve"> </w:t>
            </w:r>
            <w:r>
              <w:rPr>
                <w:rFonts w:hint="eastAsia"/>
                <w:szCs w:val="21"/>
                <w:u w:val="single"/>
              </w:rPr>
              <w:t>7</w:t>
            </w:r>
            <w:r>
              <w:rPr>
                <w:szCs w:val="21"/>
                <w:u w:val="single"/>
              </w:rPr>
              <w:t xml:space="preserve"> </w:t>
            </w:r>
            <w:r>
              <w:rPr>
                <w:rFonts w:hint="eastAsia" w:ascii="仿宋_GB2312" w:hAnsi="宋体" w:eastAsia="仿宋_GB2312"/>
                <w:sz w:val="24"/>
              </w:rPr>
              <w:t>条意见，部分</w:t>
            </w:r>
            <w:bookmarkStart w:id="1" w:name="_GoBack"/>
            <w:bookmarkEnd w:id="1"/>
            <w:r>
              <w:rPr>
                <w:rFonts w:hint="eastAsia" w:ascii="仿宋_GB2312" w:hAnsi="宋体" w:eastAsia="仿宋_GB2312"/>
                <w:sz w:val="24"/>
              </w:rPr>
              <w:t>采纳</w:t>
            </w:r>
            <w:r>
              <w:rPr>
                <w:szCs w:val="21"/>
                <w:u w:val="single"/>
              </w:rPr>
              <w:t xml:space="preserve"> </w:t>
            </w:r>
            <w:r>
              <w:rPr>
                <w:rFonts w:hint="eastAsia"/>
                <w:szCs w:val="21"/>
                <w:u w:val="single"/>
              </w:rPr>
              <w:t>0</w:t>
            </w:r>
            <w:r>
              <w:rPr>
                <w:rFonts w:hint="eastAsia" w:ascii="仿宋_GB2312" w:hAnsi="宋体" w:eastAsia="仿宋_GB2312"/>
                <w:sz w:val="24"/>
              </w:rPr>
              <w:t>条意见，未采纳</w:t>
            </w:r>
            <w:r>
              <w:rPr>
                <w:szCs w:val="21"/>
                <w:u w:val="single"/>
              </w:rPr>
              <w:t xml:space="preserve"> </w:t>
            </w:r>
            <w:r>
              <w:rPr>
                <w:rFonts w:hint="eastAsia"/>
                <w:szCs w:val="21"/>
                <w:u w:val="single"/>
              </w:rPr>
              <w:t>0</w:t>
            </w:r>
            <w:r>
              <w:rPr>
                <w:rFonts w:hint="eastAsia" w:ascii="仿宋_GB2312" w:hAnsi="宋体" w:eastAsia="仿宋_GB2312"/>
                <w:sz w:val="24"/>
              </w:rPr>
              <w:t>条意见。</w:t>
            </w:r>
          </w:p>
        </w:tc>
      </w:tr>
    </w:tbl>
    <w:p/>
    <w:sectPr>
      <w:pgSz w:w="16838" w:h="11906" w:orient="landscape"/>
      <w:pgMar w:top="1519" w:right="1440" w:bottom="1519"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00"/>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隶书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大黑简">
    <w:altName w:val="方正黑体_GBK"/>
    <w:panose1 w:val="00000000000000000000"/>
    <w:charset w:val="00"/>
    <w:family w:val="auto"/>
    <w:pitch w:val="default"/>
    <w:sig w:usb0="00000000" w:usb1="00000000" w:usb2="00000000"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ESI楷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rPr>
        <w:rStyle w:val="12"/>
      </w:rPr>
    </w:pPr>
  </w:p>
  <w:p>
    <w:pPr>
      <w:pStyle w:val="6"/>
      <w:jc w:val="center"/>
    </w:pPr>
    <w:r>
      <w:rPr>
        <w:rFonts w:hint="eastAsia"/>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lear" w:pos="8306"/>
      </w:tabs>
    </w:pP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tentative="0">
      <w:start w:val="1"/>
      <w:numFmt w:val="decimal"/>
      <w:pStyle w:val="20"/>
      <w:suff w:val="nothing"/>
      <w:lvlText w:val="表%1　"/>
      <w:lvlJc w:val="left"/>
      <w:pPr>
        <w:ind w:left="0" w:firstLine="0"/>
      </w:pPr>
      <w:rPr>
        <w:rFonts w:hint="eastAsia" w:ascii="黑体" w:hAnsi="Times New Roman" w:eastAsia="黑体"/>
        <w:b w:val="0"/>
        <w:i w:val="0"/>
        <w:sz w:val="21"/>
      </w:rPr>
    </w:lvl>
    <w:lvl w:ilvl="1" w:tentative="0">
      <w:start w:val="1"/>
      <w:numFmt w:val="decimal"/>
      <w:pStyle w:val="17"/>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FE6CC54"/>
    <w:multiLevelType w:val="singleLevel"/>
    <w:tmpl w:val="6FE6CC54"/>
    <w:lvl w:ilvl="0" w:tentative="0">
      <w:start w:val="2"/>
      <w:numFmt w:val="chineseCounting"/>
      <w:suff w:val="nothing"/>
      <w:lvlText w:val="%1、"/>
      <w:lvlJc w:val="left"/>
      <w:rPr>
        <w:rFonts w:hint="eastAsia"/>
        <w:lang w:val="en-U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9"/>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B0EC4"/>
    <w:rsid w:val="00010D7E"/>
    <w:rsid w:val="00031F13"/>
    <w:rsid w:val="001672E6"/>
    <w:rsid w:val="002176F0"/>
    <w:rsid w:val="004344C8"/>
    <w:rsid w:val="00696A30"/>
    <w:rsid w:val="007007AB"/>
    <w:rsid w:val="007576C4"/>
    <w:rsid w:val="007757B1"/>
    <w:rsid w:val="00823294"/>
    <w:rsid w:val="00885C86"/>
    <w:rsid w:val="00A00939"/>
    <w:rsid w:val="00AF53AB"/>
    <w:rsid w:val="00BC09AB"/>
    <w:rsid w:val="02A40749"/>
    <w:rsid w:val="037975F4"/>
    <w:rsid w:val="05F61381"/>
    <w:rsid w:val="0DF5BB6B"/>
    <w:rsid w:val="1FBF56F2"/>
    <w:rsid w:val="2FDFDF37"/>
    <w:rsid w:val="3FDDF6F5"/>
    <w:rsid w:val="4FE7DAC5"/>
    <w:rsid w:val="55CB0EC4"/>
    <w:rsid w:val="6BAF8BB7"/>
    <w:rsid w:val="6FFB9B6F"/>
    <w:rsid w:val="74F39A77"/>
    <w:rsid w:val="777FAB18"/>
    <w:rsid w:val="77BFD125"/>
    <w:rsid w:val="787E7717"/>
    <w:rsid w:val="7BAEE95B"/>
    <w:rsid w:val="7BFF53F9"/>
    <w:rsid w:val="7DFF44AB"/>
    <w:rsid w:val="7EFE8C12"/>
    <w:rsid w:val="7FBF5292"/>
    <w:rsid w:val="7FDFB4AD"/>
    <w:rsid w:val="7FE91E35"/>
    <w:rsid w:val="977DFEA6"/>
    <w:rsid w:val="BB7B2282"/>
    <w:rsid w:val="BCD205E7"/>
    <w:rsid w:val="BEFE4B8E"/>
    <w:rsid w:val="BFFF91D3"/>
    <w:rsid w:val="C3788C44"/>
    <w:rsid w:val="C7C31D48"/>
    <w:rsid w:val="C7FE5FBD"/>
    <w:rsid w:val="DB7FC7FD"/>
    <w:rsid w:val="DBC75A96"/>
    <w:rsid w:val="DD5EDB36"/>
    <w:rsid w:val="DD7D6F9D"/>
    <w:rsid w:val="DFEB66D4"/>
    <w:rsid w:val="E6617598"/>
    <w:rsid w:val="EAA4DA0E"/>
    <w:rsid w:val="ECBC4321"/>
    <w:rsid w:val="EDE78893"/>
    <w:rsid w:val="EFDB327C"/>
    <w:rsid w:val="F57F3DED"/>
    <w:rsid w:val="F5CF40CC"/>
    <w:rsid w:val="F67E63B5"/>
    <w:rsid w:val="FF6F6774"/>
    <w:rsid w:val="FFDD19CC"/>
    <w:rsid w:val="FFED7305"/>
    <w:rsid w:val="FFEE76E1"/>
    <w:rsid w:val="FFFE2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4"/>
    <w:qFormat/>
    <w:uiPriority w:val="0"/>
    <w:rPr>
      <w:rFonts w:eastAsia="仿宋_GB2312"/>
      <w:sz w:val="32"/>
      <w:szCs w:val="32"/>
    </w:rPr>
  </w:style>
  <w:style w:type="paragraph" w:customStyle="1" w:styleId="3">
    <w:name w:val="正文文本缩进1"/>
    <w:basedOn w:val="1"/>
    <w:qFormat/>
    <w:uiPriority w:val="0"/>
    <w:pPr>
      <w:ind w:left="200" w:leftChars="200"/>
    </w:pPr>
    <w:rPr>
      <w:rFonts w:ascii="Calibri" w:hAnsi="Calibri"/>
    </w:rPr>
  </w:style>
  <w:style w:type="paragraph" w:styleId="4">
    <w:name w:val="Normal (Web)"/>
    <w:basedOn w:val="1"/>
    <w:next w:val="1"/>
    <w:qFormat/>
    <w:uiPriority w:val="0"/>
    <w:pPr>
      <w:spacing w:before="100" w:beforeAutospacing="1" w:after="100" w:afterAutospacing="1"/>
      <w:jc w:val="left"/>
    </w:pPr>
    <w:rPr>
      <w:kern w:val="0"/>
      <w:sz w:val="24"/>
    </w:rPr>
  </w:style>
  <w:style w:type="paragraph" w:styleId="5">
    <w:name w:val="Normal Indent"/>
    <w:basedOn w:val="1"/>
    <w:qFormat/>
    <w:uiPriority w:val="0"/>
    <w:pPr>
      <w:ind w:firstLine="420" w:firstLineChars="2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page number"/>
    <w:basedOn w:val="10"/>
    <w:qFormat/>
    <w:uiPriority w:val="0"/>
  </w:style>
  <w:style w:type="character" w:styleId="13">
    <w:name w:val="Emphasis"/>
    <w:basedOn w:val="10"/>
    <w:qFormat/>
    <w:uiPriority w:val="0"/>
    <w:rPr>
      <w:i/>
    </w:rPr>
  </w:style>
  <w:style w:type="character" w:styleId="14">
    <w:name w:val="Hyperlink"/>
    <w:basedOn w:val="10"/>
    <w:qFormat/>
    <w:uiPriority w:val="0"/>
    <w:rPr>
      <w:color w:val="0000FF"/>
      <w:u w:val="single"/>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一级条标题"/>
    <w:next w:val="18"/>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9">
    <w:name w:val="二级条标题"/>
    <w:basedOn w:val="17"/>
    <w:next w:val="18"/>
    <w:qFormat/>
    <w:uiPriority w:val="0"/>
    <w:pPr>
      <w:numPr>
        <w:ilvl w:val="2"/>
        <w:numId w:val="2"/>
      </w:numPr>
      <w:spacing w:before="50" w:after="50"/>
      <w:outlineLvl w:val="3"/>
    </w:pPr>
  </w:style>
  <w:style w:type="paragraph" w:customStyle="1" w:styleId="20">
    <w:name w:val="标准文件_正文表标题"/>
    <w:next w:val="16"/>
    <w:qFormat/>
    <w:uiPriority w:val="0"/>
    <w:pPr>
      <w:numPr>
        <w:ilvl w:val="0"/>
        <w:numId w:val="1"/>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1009</Words>
  <Characters>5753</Characters>
  <Lines>47</Lines>
  <Paragraphs>13</Paragraphs>
  <TotalTime>5</TotalTime>
  <ScaleCrop>false</ScaleCrop>
  <LinksUpToDate>false</LinksUpToDate>
  <CharactersWithSpaces>6749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2022-12-16T01:45:00Z</dcterms:created>
  <dc:creator>戴润芳</dc:creator>
  <cp:lastModifiedBy>baixin</cp:lastModifiedBy>
  <cp:lastPrinted>2022-12-16T01:47:00Z</cp:lastPrinted>
  <dcterms:modified xsi:type="dcterms:W3CDTF">2024-11-08T11:18:49Z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B4D4A5CFDDD044A6858AB88A2BEB1260</vt:lpwstr>
  </property>
</Properties>
</file>